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DE80A" w14:textId="77777777" w:rsidR="007B11EC" w:rsidRDefault="009621F0" w:rsidP="00923F48">
      <w:pPr>
        <w:spacing w:after="100" w:line="259" w:lineRule="auto"/>
        <w:ind w:left="0" w:right="0" w:firstLine="0"/>
        <w:jc w:val="both"/>
      </w:pPr>
      <w:r>
        <w:rPr>
          <w:noProof/>
        </w:rPr>
        <w:drawing>
          <wp:inline distT="0" distB="0" distL="0" distR="0" wp14:anchorId="0BFBC84B" wp14:editId="553F9520">
            <wp:extent cx="1603375" cy="31242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stretch>
                      <a:fillRect/>
                    </a:stretch>
                  </pic:blipFill>
                  <pic:spPr>
                    <a:xfrm>
                      <a:off x="0" y="0"/>
                      <a:ext cx="1603375" cy="312420"/>
                    </a:xfrm>
                    <a:prstGeom prst="rect">
                      <a:avLst/>
                    </a:prstGeom>
                  </pic:spPr>
                </pic:pic>
              </a:graphicData>
            </a:graphic>
          </wp:inline>
        </w:drawing>
      </w:r>
      <w:r>
        <w:t xml:space="preserve"> </w:t>
      </w:r>
    </w:p>
    <w:p w14:paraId="00BB8561" w14:textId="77777777" w:rsidR="007B11EC" w:rsidRPr="00923F48" w:rsidRDefault="009621F0" w:rsidP="00923F48">
      <w:pPr>
        <w:spacing w:after="218" w:line="276" w:lineRule="auto"/>
        <w:ind w:left="0" w:right="0" w:firstLine="0"/>
        <w:jc w:val="both"/>
        <w:rPr>
          <w:rFonts w:ascii="Arial Narrow" w:hAnsi="Arial Narrow"/>
          <w:sz w:val="24"/>
          <w:szCs w:val="24"/>
        </w:rPr>
      </w:pPr>
      <w:r w:rsidRPr="00923F48">
        <w:rPr>
          <w:rFonts w:ascii="Arial Narrow" w:hAnsi="Arial Narrow"/>
          <w:b/>
          <w:sz w:val="24"/>
          <w:szCs w:val="24"/>
        </w:rPr>
        <w:t xml:space="preserve"> </w:t>
      </w:r>
    </w:p>
    <w:p w14:paraId="34F88121" w14:textId="41AFD437" w:rsidR="007B11EC" w:rsidRPr="00923F48" w:rsidRDefault="00D97480" w:rsidP="00923F48">
      <w:pPr>
        <w:pStyle w:val="Nadpis1"/>
        <w:numPr>
          <w:ilvl w:val="0"/>
          <w:numId w:val="0"/>
        </w:numPr>
        <w:spacing w:line="276" w:lineRule="auto"/>
        <w:jc w:val="both"/>
        <w:rPr>
          <w:rFonts w:ascii="Arial Narrow" w:hAnsi="Arial Narrow"/>
          <w:sz w:val="24"/>
          <w:szCs w:val="24"/>
        </w:rPr>
      </w:pPr>
      <w:r w:rsidRPr="00923F48">
        <w:rPr>
          <w:rFonts w:ascii="Arial Narrow" w:hAnsi="Arial Narrow"/>
          <w:sz w:val="24"/>
          <w:szCs w:val="24"/>
        </w:rPr>
        <w:t xml:space="preserve">                    </w:t>
      </w:r>
      <w:r w:rsidR="00447C26">
        <w:rPr>
          <w:rFonts w:ascii="Arial Narrow" w:hAnsi="Arial Narrow"/>
          <w:sz w:val="24"/>
          <w:szCs w:val="24"/>
        </w:rPr>
        <w:t>Okruhy tém</w:t>
      </w:r>
      <w:r w:rsidR="009621F0" w:rsidRPr="00923F48">
        <w:rPr>
          <w:rFonts w:ascii="Arial Narrow" w:hAnsi="Arial Narrow"/>
          <w:sz w:val="24"/>
          <w:szCs w:val="24"/>
        </w:rPr>
        <w:t xml:space="preserve"> a odporúčaná literatúra pre vstupný test</w:t>
      </w:r>
      <w:r w:rsidR="009621F0" w:rsidRPr="00923F48">
        <w:rPr>
          <w:rFonts w:ascii="Arial Narrow" w:hAnsi="Arial Narrow"/>
          <w:b w:val="0"/>
          <w:sz w:val="24"/>
          <w:szCs w:val="24"/>
        </w:rPr>
        <w:t xml:space="preserve"> </w:t>
      </w:r>
    </w:p>
    <w:p w14:paraId="5DEF7A6D" w14:textId="15F390B1" w:rsidR="007B11EC" w:rsidRDefault="009621F0" w:rsidP="001B699F">
      <w:pPr>
        <w:spacing w:after="144" w:line="276" w:lineRule="auto"/>
        <w:jc w:val="both"/>
        <w:rPr>
          <w:rFonts w:ascii="Arial Narrow" w:hAnsi="Arial Narrow"/>
          <w:sz w:val="24"/>
          <w:szCs w:val="24"/>
        </w:rPr>
      </w:pPr>
      <w:r w:rsidRPr="009F4728">
        <w:rPr>
          <w:rFonts w:ascii="Arial Narrow" w:hAnsi="Arial Narrow"/>
          <w:sz w:val="24"/>
          <w:szCs w:val="24"/>
        </w:rPr>
        <w:t xml:space="preserve">ktorý sa uskutoční  </w:t>
      </w:r>
      <w:r w:rsidR="009F4728">
        <w:rPr>
          <w:rFonts w:ascii="Arial Narrow" w:hAnsi="Arial Narrow"/>
          <w:sz w:val="24"/>
          <w:szCs w:val="24"/>
        </w:rPr>
        <w:t>v mesiaci  október 202</w:t>
      </w:r>
      <w:r w:rsidR="00A07649">
        <w:rPr>
          <w:rFonts w:ascii="Arial Narrow" w:hAnsi="Arial Narrow"/>
          <w:sz w:val="24"/>
          <w:szCs w:val="24"/>
        </w:rPr>
        <w:t>5</w:t>
      </w:r>
      <w:r w:rsidR="009F4728">
        <w:rPr>
          <w:rFonts w:ascii="Arial Narrow" w:hAnsi="Arial Narrow"/>
          <w:sz w:val="24"/>
          <w:szCs w:val="24"/>
        </w:rPr>
        <w:t xml:space="preserve"> </w:t>
      </w:r>
      <w:r w:rsidR="00D97480" w:rsidRPr="009F4728">
        <w:rPr>
          <w:rFonts w:ascii="Arial Narrow" w:hAnsi="Arial Narrow"/>
          <w:sz w:val="24"/>
          <w:szCs w:val="24"/>
        </w:rPr>
        <w:t>elektronicky formou testu</w:t>
      </w:r>
      <w:r w:rsidRPr="00447C26">
        <w:rPr>
          <w:rFonts w:ascii="Arial Narrow" w:hAnsi="Arial Narrow"/>
          <w:sz w:val="24"/>
          <w:szCs w:val="24"/>
        </w:rPr>
        <w:t xml:space="preserve"> </w:t>
      </w:r>
    </w:p>
    <w:p w14:paraId="315184A9" w14:textId="77663B6F" w:rsidR="00CE7FBE" w:rsidRPr="00923F48" w:rsidRDefault="00CE7FBE" w:rsidP="00CE7FBE">
      <w:pPr>
        <w:spacing w:after="144" w:line="276" w:lineRule="auto"/>
        <w:ind w:left="0" w:firstLine="0"/>
        <w:jc w:val="both"/>
        <w:rPr>
          <w:rFonts w:ascii="Arial Narrow" w:hAnsi="Arial Narrow"/>
          <w:sz w:val="24"/>
          <w:szCs w:val="24"/>
        </w:rPr>
      </w:pPr>
      <w:r>
        <w:rPr>
          <w:rFonts w:ascii="Arial Narrow" w:hAnsi="Arial Narrow"/>
          <w:sz w:val="24"/>
          <w:szCs w:val="24"/>
        </w:rPr>
        <w:t xml:space="preserve">  </w:t>
      </w:r>
    </w:p>
    <w:p w14:paraId="566E47BB" w14:textId="5BCB17A0" w:rsidR="008A4B4B" w:rsidRPr="008A4B4B" w:rsidRDefault="009621F0" w:rsidP="00E1365D">
      <w:pPr>
        <w:pStyle w:val="Nadpis1"/>
        <w:numPr>
          <w:ilvl w:val="0"/>
          <w:numId w:val="0"/>
        </w:numPr>
        <w:spacing w:line="276" w:lineRule="auto"/>
        <w:ind w:left="-5"/>
        <w:jc w:val="both"/>
        <w:rPr>
          <w:rFonts w:ascii="Arial Narrow" w:hAnsi="Arial Narrow"/>
          <w:i/>
          <w:iCs/>
          <w:sz w:val="24"/>
          <w:szCs w:val="24"/>
        </w:rPr>
      </w:pPr>
      <w:r w:rsidRPr="00923F48">
        <w:rPr>
          <w:rFonts w:ascii="Arial Narrow" w:hAnsi="Arial Narrow"/>
          <w:sz w:val="24"/>
          <w:szCs w:val="24"/>
        </w:rPr>
        <w:t xml:space="preserve">  </w:t>
      </w:r>
      <w:r w:rsidRPr="00E1365D">
        <w:rPr>
          <w:rFonts w:ascii="Arial Narrow" w:hAnsi="Arial Narrow"/>
          <w:sz w:val="24"/>
          <w:szCs w:val="24"/>
        </w:rPr>
        <w:t xml:space="preserve">Účtovníctvo podnikateľov – v znení platnom od </w:t>
      </w:r>
      <w:r w:rsidR="00541679">
        <w:rPr>
          <w:rFonts w:ascii="Arial Narrow" w:hAnsi="Arial Narrow"/>
          <w:sz w:val="24"/>
          <w:szCs w:val="24"/>
        </w:rPr>
        <w:t>15</w:t>
      </w:r>
      <w:r w:rsidRPr="00E1365D">
        <w:rPr>
          <w:rFonts w:ascii="Arial Narrow" w:hAnsi="Arial Narrow"/>
          <w:sz w:val="24"/>
          <w:szCs w:val="24"/>
        </w:rPr>
        <w:t>.0</w:t>
      </w:r>
      <w:r w:rsidR="00D3463A" w:rsidRPr="00541679">
        <w:rPr>
          <w:rFonts w:ascii="Arial Narrow" w:hAnsi="Arial Narrow"/>
          <w:sz w:val="24"/>
          <w:szCs w:val="24"/>
        </w:rPr>
        <w:t>3</w:t>
      </w:r>
      <w:r w:rsidRPr="00E1365D">
        <w:rPr>
          <w:rFonts w:ascii="Arial Narrow" w:hAnsi="Arial Narrow"/>
          <w:sz w:val="24"/>
          <w:szCs w:val="24"/>
        </w:rPr>
        <w:t>.202</w:t>
      </w:r>
      <w:r w:rsidR="00D3463A">
        <w:rPr>
          <w:rFonts w:ascii="Arial Narrow" w:hAnsi="Arial Narrow"/>
          <w:sz w:val="24"/>
          <w:szCs w:val="24"/>
        </w:rPr>
        <w:t>4</w:t>
      </w:r>
      <w:r w:rsidRPr="00923F48">
        <w:rPr>
          <w:rFonts w:ascii="Arial Narrow" w:hAnsi="Arial Narrow"/>
          <w:sz w:val="24"/>
          <w:szCs w:val="24"/>
        </w:rPr>
        <w:t xml:space="preserve"> </w:t>
      </w:r>
      <w:r w:rsidR="005905E6">
        <w:rPr>
          <w:rFonts w:ascii="Arial Narrow" w:hAnsi="Arial Narrow"/>
          <w:sz w:val="24"/>
          <w:szCs w:val="24"/>
        </w:rPr>
        <w:t xml:space="preserve"> </w:t>
      </w:r>
    </w:p>
    <w:p w14:paraId="36AA5DA2" w14:textId="15A4E8E6" w:rsidR="00E1365D" w:rsidRPr="00C45EDC" w:rsidRDefault="008A4B4B" w:rsidP="00C45EDC">
      <w:pPr>
        <w:numPr>
          <w:ilvl w:val="0"/>
          <w:numId w:val="1"/>
        </w:numPr>
        <w:spacing w:after="0" w:line="276" w:lineRule="auto"/>
        <w:ind w:right="4" w:hanging="218"/>
        <w:jc w:val="both"/>
        <w:rPr>
          <w:rFonts w:ascii="Arial Narrow" w:hAnsi="Arial Narrow"/>
          <w:b/>
          <w:bCs/>
          <w:sz w:val="24"/>
          <w:szCs w:val="24"/>
          <w:u w:val="single"/>
        </w:rPr>
      </w:pPr>
      <w:r w:rsidRPr="00E1365D">
        <w:rPr>
          <w:rFonts w:ascii="Arial Narrow" w:hAnsi="Arial Narrow"/>
          <w:b/>
          <w:bCs/>
          <w:sz w:val="24"/>
          <w:szCs w:val="24"/>
          <w:u w:val="single"/>
        </w:rPr>
        <w:t xml:space="preserve">  Tézy  pre oblasť účtovníctva</w:t>
      </w:r>
    </w:p>
    <w:p w14:paraId="4FF6EE61" w14:textId="7CB5D925" w:rsidR="00F14CAE" w:rsidRDefault="00F14CAE" w:rsidP="00F14CAE">
      <w:pPr>
        <w:spacing w:after="0" w:line="276" w:lineRule="auto"/>
        <w:ind w:left="218" w:right="4" w:firstLine="0"/>
        <w:jc w:val="both"/>
        <w:rPr>
          <w:rFonts w:ascii="Arial Narrow" w:hAnsi="Arial Narrow"/>
          <w:sz w:val="24"/>
          <w:szCs w:val="24"/>
        </w:rPr>
      </w:pPr>
      <w:r>
        <w:rPr>
          <w:rFonts w:ascii="Arial Narrow" w:hAnsi="Arial Narrow"/>
          <w:sz w:val="24"/>
          <w:szCs w:val="24"/>
        </w:rPr>
        <w:t xml:space="preserve">Vedomosti sú požadované  zo  zákona o účtovníctve. Základné poznatky o členení majetku, záväzkov a vlastného imania. Základná orientácia v štruktúre výkazov účtovnej závierky </w:t>
      </w:r>
      <w:r w:rsidR="00E1365D">
        <w:rPr>
          <w:rFonts w:ascii="Arial Narrow" w:hAnsi="Arial Narrow"/>
          <w:sz w:val="24"/>
          <w:szCs w:val="24"/>
        </w:rPr>
        <w:t>v podvojnom účtovníctve podnikateľov</w:t>
      </w:r>
    </w:p>
    <w:p w14:paraId="67586523" w14:textId="77777777" w:rsidR="00E1365D" w:rsidRDefault="00E1365D" w:rsidP="00F14CAE">
      <w:pPr>
        <w:spacing w:after="0" w:line="276" w:lineRule="auto"/>
        <w:ind w:left="218" w:right="4" w:firstLine="0"/>
        <w:jc w:val="both"/>
        <w:rPr>
          <w:rFonts w:ascii="Arial Narrow" w:hAnsi="Arial Narrow"/>
          <w:sz w:val="24"/>
          <w:szCs w:val="24"/>
        </w:rPr>
      </w:pPr>
    </w:p>
    <w:p w14:paraId="762EEBEE" w14:textId="7CC7CA8A" w:rsidR="00076E34" w:rsidRPr="00D3463A" w:rsidRDefault="00076E34" w:rsidP="00076E34">
      <w:pPr>
        <w:spacing w:after="0" w:line="276" w:lineRule="auto"/>
        <w:ind w:left="218" w:right="4" w:firstLine="0"/>
        <w:jc w:val="both"/>
        <w:rPr>
          <w:rFonts w:ascii="Arial Narrow" w:hAnsi="Arial Narrow"/>
          <w:sz w:val="24"/>
          <w:szCs w:val="24"/>
        </w:rPr>
      </w:pPr>
      <w:r w:rsidRPr="00B479B0">
        <w:rPr>
          <w:rFonts w:ascii="Arial Narrow" w:hAnsi="Arial Narrow"/>
          <w:b/>
          <w:bCs/>
          <w:sz w:val="24"/>
          <w:szCs w:val="24"/>
          <w:u w:val="single"/>
        </w:rPr>
        <w:t>Zákon o</w:t>
      </w:r>
      <w:r w:rsidR="00D3463A">
        <w:rPr>
          <w:rFonts w:ascii="Arial Narrow" w:hAnsi="Arial Narrow"/>
          <w:b/>
          <w:bCs/>
          <w:sz w:val="24"/>
          <w:szCs w:val="24"/>
          <w:u w:val="single"/>
        </w:rPr>
        <w:t> </w:t>
      </w:r>
      <w:r w:rsidRPr="00B479B0">
        <w:rPr>
          <w:rFonts w:ascii="Arial Narrow" w:hAnsi="Arial Narrow"/>
          <w:b/>
          <w:bCs/>
          <w:sz w:val="24"/>
          <w:szCs w:val="24"/>
          <w:u w:val="single"/>
        </w:rPr>
        <w:t>účtovníctve</w:t>
      </w:r>
      <w:r w:rsidR="00D3463A">
        <w:rPr>
          <w:rFonts w:ascii="Arial Narrow" w:hAnsi="Arial Narrow"/>
          <w:sz w:val="24"/>
          <w:szCs w:val="24"/>
        </w:rPr>
        <w:t xml:space="preserve"> – </w:t>
      </w:r>
      <w:r w:rsidR="00D3463A" w:rsidRPr="00D3463A">
        <w:rPr>
          <w:rFonts w:ascii="Arial Narrow" w:hAnsi="Arial Narrow"/>
          <w:b/>
          <w:bCs/>
          <w:sz w:val="24"/>
          <w:szCs w:val="24"/>
        </w:rPr>
        <w:t>v znení platnom od 01. 0</w:t>
      </w:r>
      <w:r w:rsidR="00A07649">
        <w:rPr>
          <w:rFonts w:ascii="Arial Narrow" w:hAnsi="Arial Narrow"/>
          <w:b/>
          <w:bCs/>
          <w:sz w:val="24"/>
          <w:szCs w:val="24"/>
        </w:rPr>
        <w:t>6</w:t>
      </w:r>
      <w:r w:rsidR="00D3463A" w:rsidRPr="00D3463A">
        <w:rPr>
          <w:rFonts w:ascii="Arial Narrow" w:hAnsi="Arial Narrow"/>
          <w:b/>
          <w:bCs/>
          <w:sz w:val="24"/>
          <w:szCs w:val="24"/>
        </w:rPr>
        <w:t>. 2024</w:t>
      </w:r>
    </w:p>
    <w:p w14:paraId="68FBEBB8" w14:textId="630639A4" w:rsidR="008A4B4B" w:rsidRDefault="008A4B4B" w:rsidP="008A4B4B">
      <w:pPr>
        <w:pStyle w:val="Odsekzoznamu"/>
        <w:numPr>
          <w:ilvl w:val="0"/>
          <w:numId w:val="9"/>
        </w:numPr>
        <w:spacing w:after="0" w:line="276" w:lineRule="auto"/>
        <w:ind w:right="4"/>
        <w:jc w:val="both"/>
        <w:rPr>
          <w:rFonts w:ascii="Arial Narrow" w:hAnsi="Arial Narrow"/>
          <w:sz w:val="24"/>
          <w:szCs w:val="24"/>
        </w:rPr>
      </w:pPr>
      <w:r>
        <w:rPr>
          <w:rFonts w:ascii="Arial Narrow" w:hAnsi="Arial Narrow"/>
          <w:sz w:val="24"/>
          <w:szCs w:val="24"/>
        </w:rPr>
        <w:t> Základné vymedzenie účtovných jednotiek podľa zákona o účtovníctve</w:t>
      </w:r>
    </w:p>
    <w:p w14:paraId="2FB4683B" w14:textId="62C424A1" w:rsidR="008A4B4B" w:rsidRDefault="00076E34" w:rsidP="008A4B4B">
      <w:pPr>
        <w:pStyle w:val="Odsekzoznamu"/>
        <w:numPr>
          <w:ilvl w:val="0"/>
          <w:numId w:val="9"/>
        </w:numPr>
        <w:spacing w:after="0" w:line="276" w:lineRule="auto"/>
        <w:ind w:right="4"/>
        <w:jc w:val="both"/>
        <w:rPr>
          <w:rFonts w:ascii="Arial Narrow" w:hAnsi="Arial Narrow"/>
          <w:sz w:val="24"/>
          <w:szCs w:val="24"/>
        </w:rPr>
      </w:pPr>
      <w:r>
        <w:rPr>
          <w:rFonts w:ascii="Arial Narrow" w:hAnsi="Arial Narrow"/>
          <w:sz w:val="24"/>
          <w:szCs w:val="24"/>
        </w:rPr>
        <w:t> Základné účtovné zásady a účtovné metódy pre vedenie účtovníctva a zostavenie účtovnej závierky podľa zákona o účtovníctve</w:t>
      </w:r>
    </w:p>
    <w:p w14:paraId="2B15C895" w14:textId="2189C066" w:rsidR="00076E34" w:rsidRDefault="00076E34" w:rsidP="008A4B4B">
      <w:pPr>
        <w:pStyle w:val="Odsekzoznamu"/>
        <w:numPr>
          <w:ilvl w:val="0"/>
          <w:numId w:val="9"/>
        </w:numPr>
        <w:spacing w:after="0" w:line="276" w:lineRule="auto"/>
        <w:ind w:right="4"/>
        <w:jc w:val="both"/>
        <w:rPr>
          <w:rFonts w:ascii="Arial Narrow" w:hAnsi="Arial Narrow"/>
          <w:sz w:val="24"/>
          <w:szCs w:val="24"/>
        </w:rPr>
      </w:pPr>
      <w:r>
        <w:rPr>
          <w:rFonts w:ascii="Arial Narrow" w:hAnsi="Arial Narrow"/>
          <w:sz w:val="24"/>
          <w:szCs w:val="24"/>
        </w:rPr>
        <w:t> Otvorenie a uzavretie účtovných kníh (§ 16)</w:t>
      </w:r>
    </w:p>
    <w:p w14:paraId="3CA6BCE8" w14:textId="79830474" w:rsidR="00076E34" w:rsidRDefault="00076E34" w:rsidP="008A4B4B">
      <w:pPr>
        <w:pStyle w:val="Odsekzoznamu"/>
        <w:numPr>
          <w:ilvl w:val="0"/>
          <w:numId w:val="9"/>
        </w:numPr>
        <w:spacing w:after="0" w:line="276" w:lineRule="auto"/>
        <w:ind w:right="4"/>
        <w:jc w:val="both"/>
        <w:rPr>
          <w:rFonts w:ascii="Arial Narrow" w:hAnsi="Arial Narrow"/>
          <w:sz w:val="24"/>
          <w:szCs w:val="24"/>
        </w:rPr>
      </w:pPr>
      <w:r>
        <w:rPr>
          <w:rFonts w:ascii="Arial Narrow" w:hAnsi="Arial Narrow"/>
          <w:sz w:val="24"/>
          <w:szCs w:val="24"/>
        </w:rPr>
        <w:t> Zostavenie účtovnej závierky (§ 17 až  § 18)</w:t>
      </w:r>
    </w:p>
    <w:p w14:paraId="324ECA81" w14:textId="16062B7C" w:rsidR="00076E34" w:rsidRDefault="00076E34" w:rsidP="008A4B4B">
      <w:pPr>
        <w:pStyle w:val="Odsekzoznamu"/>
        <w:numPr>
          <w:ilvl w:val="0"/>
          <w:numId w:val="9"/>
        </w:numPr>
        <w:spacing w:after="0" w:line="276" w:lineRule="auto"/>
        <w:ind w:right="4"/>
        <w:jc w:val="both"/>
        <w:rPr>
          <w:rFonts w:ascii="Arial Narrow" w:hAnsi="Arial Narrow"/>
          <w:sz w:val="24"/>
          <w:szCs w:val="24"/>
        </w:rPr>
      </w:pPr>
      <w:r>
        <w:rPr>
          <w:rFonts w:ascii="Arial Narrow" w:hAnsi="Arial Narrow"/>
          <w:sz w:val="24"/>
          <w:szCs w:val="24"/>
        </w:rPr>
        <w:t> Overenie účtovnej závierky audítorom (§ 19)</w:t>
      </w:r>
    </w:p>
    <w:p w14:paraId="464A9560" w14:textId="44D36D52" w:rsidR="00076E34" w:rsidRDefault="00076E34" w:rsidP="008A4B4B">
      <w:pPr>
        <w:pStyle w:val="Odsekzoznamu"/>
        <w:numPr>
          <w:ilvl w:val="0"/>
          <w:numId w:val="9"/>
        </w:numPr>
        <w:spacing w:after="0" w:line="276" w:lineRule="auto"/>
        <w:ind w:right="4"/>
        <w:jc w:val="both"/>
        <w:rPr>
          <w:rFonts w:ascii="Arial Narrow" w:hAnsi="Arial Narrow"/>
          <w:sz w:val="24"/>
          <w:szCs w:val="24"/>
        </w:rPr>
      </w:pPr>
      <w:r>
        <w:rPr>
          <w:rFonts w:ascii="Arial Narrow" w:hAnsi="Arial Narrow"/>
          <w:sz w:val="24"/>
          <w:szCs w:val="24"/>
        </w:rPr>
        <w:t> Konsolidovaná účtovná závierka  (§ 22 a 22a)</w:t>
      </w:r>
    </w:p>
    <w:p w14:paraId="7E15B090" w14:textId="3006F154" w:rsidR="00076E34" w:rsidRDefault="00076E34" w:rsidP="008A4B4B">
      <w:pPr>
        <w:pStyle w:val="Odsekzoznamu"/>
        <w:numPr>
          <w:ilvl w:val="0"/>
          <w:numId w:val="9"/>
        </w:numPr>
        <w:spacing w:after="0" w:line="276" w:lineRule="auto"/>
        <w:ind w:right="4"/>
        <w:jc w:val="both"/>
        <w:rPr>
          <w:rFonts w:ascii="Arial Narrow" w:hAnsi="Arial Narrow"/>
          <w:sz w:val="24"/>
          <w:szCs w:val="24"/>
        </w:rPr>
      </w:pPr>
      <w:r>
        <w:rPr>
          <w:rFonts w:ascii="Arial Narrow" w:hAnsi="Arial Narrow"/>
          <w:sz w:val="24"/>
          <w:szCs w:val="24"/>
        </w:rPr>
        <w:t> Povinnosť ukladania účtovnej závierky do Registra účtovných závierok (§ 23 až 23d)</w:t>
      </w:r>
    </w:p>
    <w:p w14:paraId="1564EAED" w14:textId="33C4D60A" w:rsidR="00076E34" w:rsidRDefault="00076E34" w:rsidP="008A4B4B">
      <w:pPr>
        <w:pStyle w:val="Odsekzoznamu"/>
        <w:numPr>
          <w:ilvl w:val="0"/>
          <w:numId w:val="9"/>
        </w:numPr>
        <w:spacing w:after="0" w:line="276" w:lineRule="auto"/>
        <w:ind w:right="4"/>
        <w:jc w:val="both"/>
        <w:rPr>
          <w:rFonts w:ascii="Arial Narrow" w:hAnsi="Arial Narrow"/>
          <w:sz w:val="24"/>
          <w:szCs w:val="24"/>
        </w:rPr>
      </w:pPr>
      <w:r>
        <w:rPr>
          <w:rFonts w:ascii="Arial Narrow" w:hAnsi="Arial Narrow"/>
          <w:sz w:val="24"/>
          <w:szCs w:val="24"/>
        </w:rPr>
        <w:t> Oceňovanie majetku  a záväzkov (§ 25  až  28)</w:t>
      </w:r>
    </w:p>
    <w:p w14:paraId="13563620" w14:textId="447128A8" w:rsidR="000B3409" w:rsidRPr="00A07649" w:rsidRDefault="000B3409" w:rsidP="008A4B4B">
      <w:pPr>
        <w:pStyle w:val="Odsekzoznamu"/>
        <w:numPr>
          <w:ilvl w:val="0"/>
          <w:numId w:val="9"/>
        </w:numPr>
        <w:spacing w:after="0" w:line="276" w:lineRule="auto"/>
        <w:ind w:right="4"/>
        <w:jc w:val="both"/>
        <w:rPr>
          <w:rFonts w:ascii="Arial Narrow" w:hAnsi="Arial Narrow"/>
          <w:color w:val="000000" w:themeColor="text1"/>
          <w:sz w:val="24"/>
          <w:szCs w:val="24"/>
        </w:rPr>
      </w:pPr>
      <w:r w:rsidRPr="00A07649">
        <w:rPr>
          <w:rFonts w:ascii="Arial Narrow" w:hAnsi="Arial Narrow"/>
          <w:color w:val="000000" w:themeColor="text1"/>
          <w:sz w:val="24"/>
          <w:szCs w:val="24"/>
        </w:rPr>
        <w:t> Výročná správa (§20)</w:t>
      </w:r>
      <w:r w:rsidR="00D41C09" w:rsidRPr="00A07649">
        <w:rPr>
          <w:rFonts w:ascii="Arial Narrow" w:hAnsi="Arial Narrow"/>
          <w:color w:val="000000" w:themeColor="text1"/>
          <w:sz w:val="24"/>
          <w:szCs w:val="24"/>
        </w:rPr>
        <w:t> </w:t>
      </w:r>
    </w:p>
    <w:p w14:paraId="7A440D6E" w14:textId="68AEC205" w:rsidR="00D41C09" w:rsidRPr="00A07649" w:rsidRDefault="00D41C09" w:rsidP="008A4B4B">
      <w:pPr>
        <w:pStyle w:val="Odsekzoznamu"/>
        <w:numPr>
          <w:ilvl w:val="0"/>
          <w:numId w:val="9"/>
        </w:numPr>
        <w:spacing w:after="0" w:line="276" w:lineRule="auto"/>
        <w:ind w:right="4"/>
        <w:jc w:val="both"/>
        <w:rPr>
          <w:rFonts w:ascii="Arial Narrow" w:hAnsi="Arial Narrow"/>
          <w:color w:val="000000" w:themeColor="text1"/>
          <w:sz w:val="24"/>
          <w:szCs w:val="24"/>
        </w:rPr>
      </w:pPr>
      <w:r w:rsidRPr="00A07649">
        <w:rPr>
          <w:rFonts w:ascii="Arial Narrow" w:hAnsi="Arial Narrow"/>
          <w:color w:val="000000" w:themeColor="text1"/>
          <w:sz w:val="24"/>
          <w:szCs w:val="24"/>
        </w:rPr>
        <w:t>Vykazovanie informácií o udržateľnosti (§20c až §20i)</w:t>
      </w:r>
    </w:p>
    <w:p w14:paraId="215406C4" w14:textId="77777777" w:rsidR="00C45EDC" w:rsidRDefault="00C45EDC" w:rsidP="00C45EDC">
      <w:pPr>
        <w:pStyle w:val="Odsekzoznamu"/>
        <w:spacing w:after="0" w:line="276" w:lineRule="auto"/>
        <w:ind w:left="938" w:right="4" w:firstLine="0"/>
        <w:jc w:val="both"/>
        <w:rPr>
          <w:rFonts w:ascii="Arial Narrow" w:hAnsi="Arial Narrow"/>
          <w:sz w:val="24"/>
          <w:szCs w:val="24"/>
        </w:rPr>
      </w:pPr>
    </w:p>
    <w:p w14:paraId="2BD976F2" w14:textId="69449FE0" w:rsidR="00076E34" w:rsidRPr="00B479B0" w:rsidRDefault="00076E34" w:rsidP="00076E34">
      <w:pPr>
        <w:spacing w:after="0" w:line="276" w:lineRule="auto"/>
        <w:ind w:left="0" w:right="4" w:firstLine="0"/>
        <w:jc w:val="both"/>
        <w:rPr>
          <w:rFonts w:ascii="Arial Narrow" w:hAnsi="Arial Narrow"/>
          <w:b/>
          <w:bCs/>
          <w:sz w:val="24"/>
          <w:szCs w:val="24"/>
          <w:u w:val="single"/>
        </w:rPr>
      </w:pPr>
      <w:r w:rsidRPr="00F14CAE">
        <w:rPr>
          <w:rFonts w:ascii="Arial Narrow" w:hAnsi="Arial Narrow"/>
          <w:b/>
          <w:bCs/>
          <w:sz w:val="24"/>
          <w:szCs w:val="24"/>
        </w:rPr>
        <w:t xml:space="preserve">    </w:t>
      </w:r>
      <w:r w:rsidRPr="00B479B0">
        <w:rPr>
          <w:rFonts w:ascii="Arial Narrow" w:hAnsi="Arial Narrow"/>
          <w:b/>
          <w:bCs/>
          <w:sz w:val="24"/>
          <w:szCs w:val="24"/>
          <w:u w:val="single"/>
        </w:rPr>
        <w:t xml:space="preserve"> Opatreni</w:t>
      </w:r>
      <w:r w:rsidR="000A0B08">
        <w:rPr>
          <w:rFonts w:ascii="Arial Narrow" w:hAnsi="Arial Narrow"/>
          <w:b/>
          <w:bCs/>
          <w:sz w:val="24"/>
          <w:szCs w:val="24"/>
          <w:u w:val="single"/>
        </w:rPr>
        <w:t>e</w:t>
      </w:r>
      <w:r w:rsidRPr="00B479B0">
        <w:rPr>
          <w:rFonts w:ascii="Arial Narrow" w:hAnsi="Arial Narrow"/>
          <w:b/>
          <w:bCs/>
          <w:sz w:val="24"/>
          <w:szCs w:val="24"/>
          <w:u w:val="single"/>
        </w:rPr>
        <w:t xml:space="preserve"> na </w:t>
      </w:r>
      <w:r w:rsidR="00B479B0" w:rsidRPr="00B479B0">
        <w:rPr>
          <w:rFonts w:ascii="Arial Narrow" w:hAnsi="Arial Narrow"/>
          <w:b/>
          <w:bCs/>
          <w:sz w:val="24"/>
          <w:szCs w:val="24"/>
          <w:u w:val="single"/>
        </w:rPr>
        <w:t>postupy účtovania</w:t>
      </w:r>
      <w:r w:rsidR="000A0B08">
        <w:rPr>
          <w:rFonts w:ascii="Arial Narrow" w:hAnsi="Arial Narrow"/>
          <w:b/>
          <w:bCs/>
          <w:sz w:val="24"/>
          <w:szCs w:val="24"/>
          <w:u w:val="single"/>
        </w:rPr>
        <w:t xml:space="preserve"> pre podnikateľov v sústave podvojného účtovníctva</w:t>
      </w:r>
    </w:p>
    <w:p w14:paraId="3AA4839D" w14:textId="05F21964" w:rsidR="00B479B0" w:rsidRDefault="00B479B0" w:rsidP="00B479B0">
      <w:pPr>
        <w:pStyle w:val="Odsekzoznamu"/>
        <w:numPr>
          <w:ilvl w:val="0"/>
          <w:numId w:val="10"/>
        </w:numPr>
        <w:spacing w:after="0" w:line="276" w:lineRule="auto"/>
        <w:ind w:right="4"/>
        <w:jc w:val="both"/>
        <w:rPr>
          <w:rFonts w:ascii="Arial Narrow" w:hAnsi="Arial Narrow"/>
          <w:sz w:val="24"/>
          <w:szCs w:val="24"/>
        </w:rPr>
      </w:pPr>
      <w:r>
        <w:rPr>
          <w:rFonts w:ascii="Arial Narrow" w:hAnsi="Arial Narrow"/>
          <w:sz w:val="24"/>
          <w:szCs w:val="24"/>
        </w:rPr>
        <w:t> Základné  zložky dlhodobého majetku</w:t>
      </w:r>
      <w:r w:rsidR="00C45EDC">
        <w:rPr>
          <w:rFonts w:ascii="Arial Narrow" w:hAnsi="Arial Narrow"/>
          <w:sz w:val="24"/>
          <w:szCs w:val="24"/>
        </w:rPr>
        <w:t xml:space="preserve"> a oceňovanie dlhodobého majetku</w:t>
      </w:r>
    </w:p>
    <w:p w14:paraId="0EECF1E6" w14:textId="791C4E0E" w:rsidR="008A4B4B" w:rsidRDefault="00B479B0" w:rsidP="00B479B0">
      <w:pPr>
        <w:pStyle w:val="Odsekzoznamu"/>
        <w:numPr>
          <w:ilvl w:val="0"/>
          <w:numId w:val="10"/>
        </w:numPr>
        <w:spacing w:after="0" w:line="276" w:lineRule="auto"/>
        <w:ind w:right="4"/>
        <w:jc w:val="both"/>
        <w:rPr>
          <w:rFonts w:ascii="Arial Narrow" w:hAnsi="Arial Narrow"/>
          <w:sz w:val="24"/>
          <w:szCs w:val="24"/>
        </w:rPr>
      </w:pPr>
      <w:r>
        <w:rPr>
          <w:rFonts w:ascii="Arial Narrow" w:hAnsi="Arial Narrow"/>
          <w:sz w:val="24"/>
          <w:szCs w:val="24"/>
        </w:rPr>
        <w:t> Charakteristika zásob  a oceňovanie zásob</w:t>
      </w:r>
    </w:p>
    <w:p w14:paraId="4DEB7701" w14:textId="1F2D23D7" w:rsidR="00B479B0" w:rsidRDefault="00B479B0" w:rsidP="00B479B0">
      <w:pPr>
        <w:pStyle w:val="Odsekzoznamu"/>
        <w:numPr>
          <w:ilvl w:val="0"/>
          <w:numId w:val="10"/>
        </w:numPr>
        <w:spacing w:after="0" w:line="276" w:lineRule="auto"/>
        <w:ind w:right="4"/>
        <w:jc w:val="both"/>
        <w:rPr>
          <w:rFonts w:ascii="Arial Narrow" w:hAnsi="Arial Narrow"/>
          <w:sz w:val="24"/>
          <w:szCs w:val="24"/>
        </w:rPr>
      </w:pPr>
      <w:r>
        <w:rPr>
          <w:rFonts w:ascii="Arial Narrow" w:hAnsi="Arial Narrow"/>
          <w:sz w:val="24"/>
          <w:szCs w:val="24"/>
        </w:rPr>
        <w:t> Charakteristika a druhy zúčtovacích vzťahov a oceňovanie zúčtovacích vzťahov</w:t>
      </w:r>
    </w:p>
    <w:p w14:paraId="21C4C49A" w14:textId="5B5239E2" w:rsidR="00B479B0" w:rsidRDefault="00B479B0" w:rsidP="00B479B0">
      <w:pPr>
        <w:pStyle w:val="Odsekzoznamu"/>
        <w:numPr>
          <w:ilvl w:val="0"/>
          <w:numId w:val="10"/>
        </w:numPr>
        <w:spacing w:after="0" w:line="276" w:lineRule="auto"/>
        <w:ind w:right="4"/>
        <w:jc w:val="both"/>
        <w:rPr>
          <w:rFonts w:ascii="Arial Narrow" w:hAnsi="Arial Narrow"/>
          <w:sz w:val="24"/>
          <w:szCs w:val="24"/>
        </w:rPr>
      </w:pPr>
      <w:r>
        <w:rPr>
          <w:rFonts w:ascii="Arial Narrow" w:hAnsi="Arial Narrow"/>
          <w:sz w:val="24"/>
          <w:szCs w:val="24"/>
        </w:rPr>
        <w:t> Zložky vlastného imania, oceňovanie a účtovanie o vlastnom imaní</w:t>
      </w:r>
    </w:p>
    <w:p w14:paraId="7C8378C7" w14:textId="0B4242D1" w:rsidR="00B479B0" w:rsidRDefault="00B479B0" w:rsidP="00B479B0">
      <w:pPr>
        <w:pStyle w:val="Odsekzoznamu"/>
        <w:numPr>
          <w:ilvl w:val="0"/>
          <w:numId w:val="10"/>
        </w:numPr>
        <w:spacing w:after="0" w:line="276" w:lineRule="auto"/>
        <w:ind w:right="4"/>
        <w:jc w:val="both"/>
        <w:rPr>
          <w:rFonts w:ascii="Arial Narrow" w:hAnsi="Arial Narrow"/>
          <w:sz w:val="24"/>
          <w:szCs w:val="24"/>
        </w:rPr>
      </w:pPr>
      <w:r>
        <w:rPr>
          <w:rFonts w:ascii="Arial Narrow" w:hAnsi="Arial Narrow"/>
          <w:sz w:val="24"/>
          <w:szCs w:val="24"/>
        </w:rPr>
        <w:t> Všeobecná charakteristika a klasifikácia nákladov</w:t>
      </w:r>
    </w:p>
    <w:p w14:paraId="0809FFC8" w14:textId="76A0FE13" w:rsidR="00B479B0" w:rsidRDefault="00B479B0" w:rsidP="00B479B0">
      <w:pPr>
        <w:pStyle w:val="Odsekzoznamu"/>
        <w:numPr>
          <w:ilvl w:val="0"/>
          <w:numId w:val="10"/>
        </w:numPr>
        <w:spacing w:after="0" w:line="276" w:lineRule="auto"/>
        <w:ind w:right="4"/>
        <w:jc w:val="both"/>
        <w:rPr>
          <w:rFonts w:ascii="Arial Narrow" w:hAnsi="Arial Narrow"/>
          <w:sz w:val="24"/>
          <w:szCs w:val="24"/>
        </w:rPr>
      </w:pPr>
      <w:r>
        <w:rPr>
          <w:rFonts w:ascii="Arial Narrow" w:hAnsi="Arial Narrow"/>
          <w:sz w:val="24"/>
          <w:szCs w:val="24"/>
        </w:rPr>
        <w:t> Všeobecná charakteristika a klasifikácia  a právna úprava výnosov</w:t>
      </w:r>
    </w:p>
    <w:p w14:paraId="194008C7" w14:textId="5CC1423B" w:rsidR="00B479B0" w:rsidRDefault="00B479B0" w:rsidP="00B479B0">
      <w:pPr>
        <w:pStyle w:val="Odsekzoznamu"/>
        <w:numPr>
          <w:ilvl w:val="0"/>
          <w:numId w:val="10"/>
        </w:numPr>
        <w:spacing w:after="0" w:line="276" w:lineRule="auto"/>
        <w:ind w:right="4"/>
        <w:jc w:val="both"/>
        <w:rPr>
          <w:rFonts w:ascii="Arial Narrow" w:hAnsi="Arial Narrow"/>
          <w:sz w:val="24"/>
          <w:szCs w:val="24"/>
        </w:rPr>
      </w:pPr>
      <w:r>
        <w:rPr>
          <w:rFonts w:ascii="Arial Narrow" w:hAnsi="Arial Narrow"/>
          <w:sz w:val="24"/>
          <w:szCs w:val="24"/>
        </w:rPr>
        <w:t> Podstata časového rozlišovania nákladov a výnosov</w:t>
      </w:r>
    </w:p>
    <w:p w14:paraId="6C6D091E" w14:textId="3637C108" w:rsidR="00B479B0" w:rsidRDefault="00F14CAE" w:rsidP="00B479B0">
      <w:pPr>
        <w:pStyle w:val="Odsekzoznamu"/>
        <w:numPr>
          <w:ilvl w:val="0"/>
          <w:numId w:val="10"/>
        </w:numPr>
        <w:spacing w:after="0" w:line="276" w:lineRule="auto"/>
        <w:ind w:right="4"/>
        <w:jc w:val="both"/>
        <w:rPr>
          <w:rFonts w:ascii="Arial Narrow" w:hAnsi="Arial Narrow"/>
          <w:sz w:val="24"/>
          <w:szCs w:val="24"/>
        </w:rPr>
      </w:pPr>
      <w:r>
        <w:rPr>
          <w:rFonts w:ascii="Arial Narrow" w:hAnsi="Arial Narrow"/>
          <w:sz w:val="24"/>
          <w:szCs w:val="24"/>
        </w:rPr>
        <w:t> Podstata a význam výsledku hospodárenia</w:t>
      </w:r>
    </w:p>
    <w:p w14:paraId="13F517FE" w14:textId="77777777" w:rsidR="00C45EDC" w:rsidRDefault="00C45EDC" w:rsidP="00C45EDC">
      <w:pPr>
        <w:pStyle w:val="Odsekzoznamu"/>
        <w:spacing w:after="0" w:line="276" w:lineRule="auto"/>
        <w:ind w:left="928" w:right="4" w:firstLine="0"/>
        <w:jc w:val="both"/>
        <w:rPr>
          <w:rFonts w:ascii="Arial Narrow" w:hAnsi="Arial Narrow"/>
          <w:sz w:val="24"/>
          <w:szCs w:val="24"/>
        </w:rPr>
      </w:pPr>
    </w:p>
    <w:p w14:paraId="251CAD31" w14:textId="26E5409F" w:rsidR="00F14CAE" w:rsidRPr="00C45EDC" w:rsidRDefault="00F14CAE" w:rsidP="00C45EDC">
      <w:pPr>
        <w:spacing w:after="0" w:line="276" w:lineRule="auto"/>
        <w:ind w:left="578" w:right="4"/>
        <w:jc w:val="both"/>
        <w:rPr>
          <w:rFonts w:ascii="Arial Narrow" w:hAnsi="Arial Narrow"/>
          <w:b/>
          <w:bCs/>
          <w:sz w:val="24"/>
          <w:szCs w:val="24"/>
          <w:u w:val="single"/>
        </w:rPr>
      </w:pPr>
      <w:r w:rsidRPr="00F14CAE">
        <w:rPr>
          <w:rFonts w:ascii="Arial Narrow" w:hAnsi="Arial Narrow"/>
          <w:b/>
          <w:bCs/>
          <w:sz w:val="24"/>
          <w:szCs w:val="24"/>
          <w:u w:val="single"/>
        </w:rPr>
        <w:t xml:space="preserve">Opatrenia na zostavenia individuálnej účtovnej závierky </w:t>
      </w:r>
    </w:p>
    <w:p w14:paraId="144EEC29" w14:textId="4B7C0AF8" w:rsidR="007B11EC" w:rsidRDefault="00F14CAE" w:rsidP="00F14CAE">
      <w:pPr>
        <w:pStyle w:val="Odsekzoznamu"/>
        <w:numPr>
          <w:ilvl w:val="0"/>
          <w:numId w:val="11"/>
        </w:numPr>
        <w:spacing w:after="158" w:line="276" w:lineRule="auto"/>
        <w:ind w:right="0"/>
        <w:jc w:val="both"/>
        <w:rPr>
          <w:rFonts w:ascii="Arial Narrow" w:hAnsi="Arial Narrow"/>
          <w:sz w:val="24"/>
          <w:szCs w:val="24"/>
        </w:rPr>
      </w:pPr>
      <w:r>
        <w:rPr>
          <w:rFonts w:ascii="Arial Narrow" w:hAnsi="Arial Narrow"/>
          <w:sz w:val="24"/>
          <w:szCs w:val="24"/>
        </w:rPr>
        <w:t> Štruktúra účtovnej závierky</w:t>
      </w:r>
    </w:p>
    <w:p w14:paraId="0AEADA8A" w14:textId="00B77B8A" w:rsidR="00E1365D" w:rsidRDefault="00F14CAE" w:rsidP="00C45EDC">
      <w:pPr>
        <w:pStyle w:val="Odsekzoznamu"/>
        <w:numPr>
          <w:ilvl w:val="0"/>
          <w:numId w:val="11"/>
        </w:numPr>
        <w:spacing w:after="158" w:line="276" w:lineRule="auto"/>
        <w:ind w:right="0"/>
        <w:jc w:val="both"/>
        <w:rPr>
          <w:rFonts w:ascii="Arial Narrow" w:hAnsi="Arial Narrow"/>
          <w:sz w:val="24"/>
          <w:szCs w:val="24"/>
        </w:rPr>
      </w:pPr>
      <w:r>
        <w:rPr>
          <w:rFonts w:ascii="Arial Narrow" w:hAnsi="Arial Narrow"/>
          <w:sz w:val="24"/>
          <w:szCs w:val="24"/>
        </w:rPr>
        <w:t> Lehoty pre zostavenie účtovnej závierky, uloženie a schválenie účtovnej závierky</w:t>
      </w:r>
    </w:p>
    <w:p w14:paraId="1A0B194E" w14:textId="77777777" w:rsidR="00C45EDC" w:rsidRPr="00C45EDC" w:rsidRDefault="00C45EDC" w:rsidP="00C45EDC">
      <w:pPr>
        <w:pStyle w:val="Odsekzoznamu"/>
        <w:spacing w:after="158" w:line="276" w:lineRule="auto"/>
        <w:ind w:left="1068" w:right="0" w:firstLine="0"/>
        <w:jc w:val="both"/>
        <w:rPr>
          <w:rFonts w:ascii="Arial Narrow" w:hAnsi="Arial Narrow"/>
          <w:sz w:val="24"/>
          <w:szCs w:val="24"/>
        </w:rPr>
      </w:pPr>
    </w:p>
    <w:p w14:paraId="32C690ED" w14:textId="7E7C62BE" w:rsidR="007B11EC" w:rsidRPr="00C45EDC" w:rsidRDefault="009621F0" w:rsidP="00E1365D">
      <w:pPr>
        <w:pStyle w:val="Odsekzoznamu"/>
        <w:numPr>
          <w:ilvl w:val="0"/>
          <w:numId w:val="1"/>
        </w:numPr>
        <w:spacing w:after="0" w:line="276" w:lineRule="auto"/>
        <w:ind w:right="0"/>
        <w:jc w:val="both"/>
        <w:rPr>
          <w:rFonts w:ascii="Arial Narrow" w:hAnsi="Arial Narrow"/>
          <w:sz w:val="24"/>
          <w:szCs w:val="24"/>
          <w:u w:val="single"/>
        </w:rPr>
      </w:pPr>
      <w:r w:rsidRPr="00E1365D">
        <w:rPr>
          <w:rFonts w:ascii="Arial Narrow" w:hAnsi="Arial Narrow"/>
          <w:sz w:val="24"/>
          <w:szCs w:val="24"/>
        </w:rPr>
        <w:t xml:space="preserve"> </w:t>
      </w:r>
      <w:r w:rsidRPr="00C45EDC">
        <w:rPr>
          <w:rFonts w:ascii="Arial Narrow" w:hAnsi="Arial Narrow"/>
          <w:b/>
          <w:sz w:val="24"/>
          <w:szCs w:val="24"/>
          <w:u w:val="single"/>
        </w:rPr>
        <w:t>Odporúčaná literatúra</w:t>
      </w:r>
      <w:r w:rsidRPr="00C45EDC">
        <w:rPr>
          <w:rFonts w:ascii="Arial Narrow" w:hAnsi="Arial Narrow"/>
          <w:sz w:val="24"/>
          <w:szCs w:val="24"/>
          <w:u w:val="single"/>
        </w:rPr>
        <w:t xml:space="preserve">: </w:t>
      </w:r>
    </w:p>
    <w:p w14:paraId="6314AB5F" w14:textId="7709D96B" w:rsidR="00E1365D" w:rsidRPr="00C45EDC" w:rsidRDefault="00E1365D" w:rsidP="00E1365D">
      <w:pPr>
        <w:pStyle w:val="Odsekzoznamu"/>
        <w:numPr>
          <w:ilvl w:val="0"/>
          <w:numId w:val="12"/>
        </w:numPr>
        <w:spacing w:after="0" w:line="276" w:lineRule="auto"/>
        <w:ind w:right="0"/>
        <w:jc w:val="both"/>
        <w:rPr>
          <w:rFonts w:ascii="Arial Narrow" w:hAnsi="Arial Narrow"/>
          <w:b/>
          <w:bCs/>
          <w:sz w:val="24"/>
          <w:szCs w:val="24"/>
        </w:rPr>
      </w:pPr>
      <w:r w:rsidRPr="00C45EDC">
        <w:rPr>
          <w:rFonts w:ascii="Arial Narrow" w:hAnsi="Arial Narrow"/>
          <w:b/>
          <w:bCs/>
          <w:sz w:val="24"/>
          <w:szCs w:val="24"/>
        </w:rPr>
        <w:t>Právne predpisy</w:t>
      </w:r>
    </w:p>
    <w:p w14:paraId="105B97B7" w14:textId="212BAFBD" w:rsidR="007B11EC" w:rsidRDefault="00CE089F" w:rsidP="00E1365D">
      <w:pPr>
        <w:pStyle w:val="Odsekzoznamu"/>
        <w:numPr>
          <w:ilvl w:val="0"/>
          <w:numId w:val="13"/>
        </w:numPr>
        <w:spacing w:after="32" w:line="240" w:lineRule="auto"/>
        <w:ind w:right="0"/>
        <w:jc w:val="both"/>
        <w:rPr>
          <w:rFonts w:ascii="Arial Narrow" w:hAnsi="Arial Narrow"/>
          <w:sz w:val="24"/>
          <w:szCs w:val="24"/>
        </w:rPr>
      </w:pPr>
      <w:r>
        <w:rPr>
          <w:rFonts w:ascii="Arial Narrow" w:hAnsi="Arial Narrow"/>
          <w:sz w:val="24"/>
          <w:szCs w:val="24"/>
        </w:rPr>
        <w:lastRenderedPageBreak/>
        <w:t>Zákon č. 431/2002 Z. z. o účtovníctve v znení neskorších predpisov</w:t>
      </w:r>
    </w:p>
    <w:p w14:paraId="50272C3F" w14:textId="4DBC3CC1" w:rsidR="00D3463A" w:rsidRPr="00D3463A" w:rsidRDefault="00D3463A" w:rsidP="00D3463A">
      <w:pPr>
        <w:pStyle w:val="Odsekzoznamu"/>
        <w:spacing w:after="32" w:line="240" w:lineRule="auto"/>
        <w:ind w:left="1128" w:right="0" w:firstLine="0"/>
        <w:jc w:val="both"/>
        <w:rPr>
          <w:rFonts w:ascii="Arial Narrow" w:hAnsi="Arial Narrow"/>
          <w:color w:val="4472C4" w:themeColor="accent1"/>
          <w:sz w:val="24"/>
          <w:szCs w:val="24"/>
        </w:rPr>
      </w:pPr>
      <w:r w:rsidRPr="00D3463A">
        <w:rPr>
          <w:rFonts w:ascii="Arial Narrow" w:hAnsi="Arial Narrow"/>
          <w:color w:val="4472C4" w:themeColor="accent1"/>
          <w:sz w:val="24"/>
          <w:szCs w:val="24"/>
        </w:rPr>
        <w:t>https://www.slov-lex.sk/pravne-predpisy/SK/ZZ/2002/431/</w:t>
      </w:r>
    </w:p>
    <w:p w14:paraId="73BACCD9" w14:textId="77777777" w:rsidR="00E1365D" w:rsidRPr="00541679" w:rsidRDefault="00E1365D" w:rsidP="00541679">
      <w:pPr>
        <w:spacing w:after="32" w:line="240" w:lineRule="auto"/>
        <w:ind w:left="0" w:right="0" w:firstLine="0"/>
        <w:jc w:val="both"/>
        <w:rPr>
          <w:rFonts w:ascii="Arial Narrow" w:hAnsi="Arial Narrow"/>
          <w:sz w:val="24"/>
          <w:szCs w:val="24"/>
        </w:rPr>
      </w:pPr>
    </w:p>
    <w:p w14:paraId="65CF02E1" w14:textId="16E2E203" w:rsidR="00E1365D" w:rsidRDefault="00CE089F" w:rsidP="00E1365D">
      <w:pPr>
        <w:pStyle w:val="Odsekzoznamu"/>
        <w:numPr>
          <w:ilvl w:val="0"/>
          <w:numId w:val="13"/>
        </w:numPr>
        <w:spacing w:after="32" w:line="240" w:lineRule="auto"/>
        <w:ind w:right="0"/>
        <w:jc w:val="both"/>
        <w:rPr>
          <w:rFonts w:ascii="Arial Narrow" w:hAnsi="Arial Narrow"/>
          <w:sz w:val="24"/>
          <w:szCs w:val="24"/>
        </w:rPr>
      </w:pPr>
      <w:r>
        <w:rPr>
          <w:rFonts w:ascii="Arial Narrow" w:hAnsi="Arial Narrow"/>
          <w:sz w:val="24"/>
          <w:szCs w:val="24"/>
        </w:rPr>
        <w:t>Opatrenie MFSR č. 23054/2002-92, ktorým sa ustanovujú podrobnosti o postupoch účtovania a rámcová účtová osnova pre podnikateľov účtujúcich v sústave podvojného účtovníctva v znení neskorších predpisov</w:t>
      </w:r>
    </w:p>
    <w:p w14:paraId="19054105" w14:textId="77777777" w:rsidR="00E1365D" w:rsidRDefault="00E1365D" w:rsidP="00E1365D">
      <w:pPr>
        <w:pStyle w:val="Odsekzoznamu"/>
        <w:spacing w:after="32" w:line="240" w:lineRule="auto"/>
        <w:ind w:left="1128" w:right="0" w:firstLine="0"/>
        <w:jc w:val="both"/>
        <w:rPr>
          <w:rFonts w:ascii="Arial Narrow" w:hAnsi="Arial Narrow"/>
          <w:sz w:val="24"/>
          <w:szCs w:val="24"/>
        </w:rPr>
      </w:pPr>
    </w:p>
    <w:p w14:paraId="0ACD029F" w14:textId="799C0B92" w:rsidR="00E1365D" w:rsidRPr="00E1365D" w:rsidRDefault="00CE089F" w:rsidP="008E67F0">
      <w:pPr>
        <w:pStyle w:val="Odsekzoznamu"/>
        <w:numPr>
          <w:ilvl w:val="0"/>
          <w:numId w:val="13"/>
        </w:numPr>
        <w:spacing w:after="32" w:line="240" w:lineRule="auto"/>
        <w:ind w:right="0"/>
        <w:jc w:val="both"/>
        <w:rPr>
          <w:rFonts w:ascii="Arial Narrow" w:hAnsi="Arial Narrow"/>
          <w:sz w:val="24"/>
          <w:szCs w:val="24"/>
        </w:rPr>
      </w:pPr>
      <w:r w:rsidRPr="00E1365D">
        <w:rPr>
          <w:rFonts w:ascii="Arial Narrow" w:hAnsi="Arial Narrow"/>
          <w:sz w:val="24"/>
          <w:szCs w:val="24"/>
        </w:rPr>
        <w:t>Opatrenie MFSR č .MF/23377/2014-74,ktorým sa ustanovujú podrobnosti o individuálnej účtovnej závierke a rozsahu údajov určených z individuálnej účtovnej závierky na zverejnenie pre veľké účtovné jednotky a </w:t>
      </w:r>
      <w:r w:rsidRPr="00E1365D">
        <w:rPr>
          <w:rFonts w:ascii="Arial Narrow" w:hAnsi="Arial Narrow"/>
          <w:color w:val="auto"/>
          <w:sz w:val="24"/>
          <w:szCs w:val="24"/>
        </w:rPr>
        <w:t>subjekty verejného záujmu v znení neskorších predpisov</w:t>
      </w:r>
      <w:r w:rsidR="00E1365D" w:rsidRPr="00E1365D">
        <w:rPr>
          <w:rFonts w:ascii="Arial Narrow" w:hAnsi="Arial Narrow"/>
          <w:color w:val="auto"/>
          <w:sz w:val="24"/>
          <w:szCs w:val="24"/>
        </w:rPr>
        <w:t xml:space="preserve"> </w:t>
      </w:r>
    </w:p>
    <w:p w14:paraId="7274C710" w14:textId="77777777" w:rsidR="00E1365D" w:rsidRPr="00E1365D" w:rsidRDefault="00E1365D" w:rsidP="00E1365D">
      <w:pPr>
        <w:spacing w:after="32" w:line="240" w:lineRule="auto"/>
        <w:ind w:left="0" w:right="0" w:firstLine="0"/>
        <w:jc w:val="both"/>
        <w:rPr>
          <w:rFonts w:ascii="Arial Narrow" w:hAnsi="Arial Narrow"/>
          <w:sz w:val="24"/>
          <w:szCs w:val="24"/>
        </w:rPr>
      </w:pPr>
    </w:p>
    <w:p w14:paraId="00735605" w14:textId="42BCD1F8" w:rsidR="00CE089F" w:rsidRPr="00E1365D" w:rsidRDefault="00CE089F" w:rsidP="00E1365D">
      <w:pPr>
        <w:pStyle w:val="Odsekzoznamu"/>
        <w:numPr>
          <w:ilvl w:val="0"/>
          <w:numId w:val="13"/>
        </w:numPr>
        <w:spacing w:after="32" w:line="240" w:lineRule="auto"/>
        <w:ind w:right="0"/>
        <w:jc w:val="both"/>
        <w:rPr>
          <w:rFonts w:ascii="Arial Narrow" w:hAnsi="Arial Narrow"/>
          <w:sz w:val="24"/>
          <w:szCs w:val="24"/>
        </w:rPr>
      </w:pPr>
      <w:r w:rsidRPr="00E1365D">
        <w:rPr>
          <w:rFonts w:ascii="Arial Narrow" w:hAnsi="Arial Narrow"/>
          <w:color w:val="auto"/>
          <w:sz w:val="24"/>
          <w:szCs w:val="24"/>
        </w:rPr>
        <w:t xml:space="preserve">Opatrenie MF SR č. </w:t>
      </w:r>
      <w:r w:rsidRPr="00E1365D">
        <w:rPr>
          <w:rFonts w:ascii="Arial Narrow" w:hAnsi="Arial Narrow"/>
          <w:bCs/>
          <w:sz w:val="24"/>
          <w:szCs w:val="24"/>
        </w:rPr>
        <w:t>MF/23378/2014-74,ktorým sa ustanovujú podrobnosti o individuálnej účtovnej závierke a rozsahu údajov určených z individuálnej účtovnej závierky na zverejnenie pre malé účtovné jednotky v znení  neskorších predpisov</w:t>
      </w:r>
    </w:p>
    <w:p w14:paraId="60CFE731" w14:textId="77777777" w:rsidR="00E1365D" w:rsidRPr="00E1365D" w:rsidRDefault="00E1365D" w:rsidP="00E1365D">
      <w:pPr>
        <w:pStyle w:val="Odsekzoznamu"/>
        <w:spacing w:after="32" w:line="240" w:lineRule="auto"/>
        <w:ind w:left="1128" w:right="0" w:firstLine="0"/>
        <w:jc w:val="both"/>
        <w:rPr>
          <w:rFonts w:ascii="Arial Narrow" w:hAnsi="Arial Narrow"/>
          <w:sz w:val="24"/>
          <w:szCs w:val="24"/>
        </w:rPr>
      </w:pPr>
    </w:p>
    <w:p w14:paraId="663AF20A" w14:textId="304B1955" w:rsidR="00CE089F" w:rsidRDefault="00E1365D" w:rsidP="00E1365D">
      <w:pPr>
        <w:pStyle w:val="Odsekzoznamu"/>
        <w:numPr>
          <w:ilvl w:val="0"/>
          <w:numId w:val="13"/>
        </w:numPr>
        <w:spacing w:after="32" w:line="240" w:lineRule="auto"/>
        <w:ind w:right="0"/>
        <w:jc w:val="both"/>
        <w:rPr>
          <w:rFonts w:ascii="Arial Narrow" w:hAnsi="Arial Narrow"/>
          <w:sz w:val="24"/>
          <w:szCs w:val="24"/>
        </w:rPr>
      </w:pPr>
      <w:r w:rsidRPr="00E1365D">
        <w:rPr>
          <w:rFonts w:ascii="Arial Narrow" w:hAnsi="Arial Narrow"/>
          <w:sz w:val="24"/>
          <w:szCs w:val="24"/>
        </w:rPr>
        <w:t xml:space="preserve">Opatrenie MFSR </w:t>
      </w:r>
      <w:r w:rsidR="00CE089F" w:rsidRPr="00E1365D">
        <w:rPr>
          <w:rFonts w:ascii="Arial Narrow" w:hAnsi="Arial Narrow"/>
          <w:sz w:val="24"/>
          <w:szCs w:val="24"/>
        </w:rPr>
        <w:t>č. MF/15464/2013-74, ktorým sa ustanovujú podrobnosti o usporiadaní, označovaní a obsahovom vymedzení položiek individuálnej účtovnej závierky</w:t>
      </w:r>
      <w:r w:rsidRPr="00E1365D">
        <w:rPr>
          <w:rFonts w:ascii="Arial Narrow" w:hAnsi="Arial Narrow"/>
          <w:sz w:val="24"/>
          <w:szCs w:val="24"/>
        </w:rPr>
        <w:t xml:space="preserve"> </w:t>
      </w:r>
      <w:r w:rsidR="00CE089F" w:rsidRPr="00E1365D">
        <w:rPr>
          <w:rFonts w:ascii="Arial Narrow" w:hAnsi="Arial Narrow"/>
          <w:sz w:val="24"/>
          <w:szCs w:val="24"/>
        </w:rPr>
        <w:t>a</w:t>
      </w:r>
      <w:r w:rsidRPr="00E1365D">
        <w:rPr>
          <w:rFonts w:ascii="Arial Narrow" w:hAnsi="Arial Narrow"/>
          <w:sz w:val="24"/>
          <w:szCs w:val="24"/>
        </w:rPr>
        <w:t> </w:t>
      </w:r>
      <w:r w:rsidR="00CE089F" w:rsidRPr="00E1365D">
        <w:rPr>
          <w:rFonts w:ascii="Arial Narrow" w:hAnsi="Arial Narrow"/>
          <w:sz w:val="24"/>
          <w:szCs w:val="24"/>
        </w:rPr>
        <w:t>rozsahu</w:t>
      </w:r>
      <w:r w:rsidRPr="00E1365D">
        <w:rPr>
          <w:rFonts w:ascii="Arial Narrow" w:hAnsi="Arial Narrow"/>
          <w:sz w:val="24"/>
          <w:szCs w:val="24"/>
        </w:rPr>
        <w:t xml:space="preserve"> </w:t>
      </w:r>
      <w:r w:rsidR="00CE089F" w:rsidRPr="00E1365D">
        <w:rPr>
          <w:rFonts w:ascii="Arial Narrow" w:hAnsi="Arial Narrow"/>
          <w:sz w:val="24"/>
          <w:szCs w:val="24"/>
        </w:rPr>
        <w:t>údajov</w:t>
      </w:r>
      <w:r w:rsidRPr="00E1365D">
        <w:rPr>
          <w:rFonts w:ascii="Arial Narrow" w:hAnsi="Arial Narrow"/>
          <w:sz w:val="24"/>
          <w:szCs w:val="24"/>
        </w:rPr>
        <w:t xml:space="preserve"> </w:t>
      </w:r>
      <w:r w:rsidR="00CE089F" w:rsidRPr="00E1365D">
        <w:rPr>
          <w:rFonts w:ascii="Arial Narrow" w:hAnsi="Arial Narrow"/>
          <w:sz w:val="24"/>
          <w:szCs w:val="24"/>
        </w:rPr>
        <w:t>určených z individuálnej účtovnej závierky na zverejnenie pre mikro účtovné jednotky v znení  neskorších predpisov</w:t>
      </w:r>
    </w:p>
    <w:p w14:paraId="1F5A6EBB" w14:textId="77777777" w:rsidR="00FF2BB7" w:rsidRPr="00FF2BB7" w:rsidRDefault="00FF2BB7" w:rsidP="00FF2BB7">
      <w:pPr>
        <w:pStyle w:val="Odsekzoznamu"/>
        <w:rPr>
          <w:rFonts w:ascii="Arial Narrow" w:hAnsi="Arial Narrow"/>
          <w:sz w:val="24"/>
          <w:szCs w:val="24"/>
        </w:rPr>
      </w:pPr>
    </w:p>
    <w:p w14:paraId="74FFD423" w14:textId="77777777" w:rsidR="00D3463A" w:rsidRDefault="00D3463A" w:rsidP="00D3463A">
      <w:pPr>
        <w:pStyle w:val="Odsekzoznamu"/>
        <w:rPr>
          <w:rFonts w:ascii="Arial Narrow" w:hAnsi="Arial Narrow"/>
          <w:sz w:val="24"/>
          <w:szCs w:val="24"/>
        </w:rPr>
      </w:pPr>
    </w:p>
    <w:p w14:paraId="38088520" w14:textId="3F53D2D5" w:rsidR="00D3463A" w:rsidRDefault="00D3463A" w:rsidP="00D3463A">
      <w:pPr>
        <w:pStyle w:val="Odsekzoznamu"/>
        <w:ind w:left="1128" w:firstLine="0"/>
        <w:rPr>
          <w:rFonts w:ascii="Arial Narrow" w:hAnsi="Arial Narrow"/>
          <w:sz w:val="24"/>
          <w:szCs w:val="24"/>
        </w:rPr>
      </w:pPr>
      <w:hyperlink r:id="rId9" w:history="1">
        <w:r w:rsidRPr="00132DB3">
          <w:rPr>
            <w:rStyle w:val="Hypertextovprepojenie"/>
            <w:rFonts w:ascii="Arial Narrow" w:hAnsi="Arial Narrow"/>
            <w:sz w:val="24"/>
            <w:szCs w:val="24"/>
          </w:rPr>
          <w:t>https://www.mfsr.sk/sk/dane-cla-uctovnictvo/uctovnictvo-audit/uctovnictvo/legislativa-sr/opatrenia-oblasti-uctovnictva/</w:t>
        </w:r>
      </w:hyperlink>
    </w:p>
    <w:p w14:paraId="5C80C800" w14:textId="77777777" w:rsidR="00D3463A" w:rsidRPr="00D3463A" w:rsidRDefault="00D3463A" w:rsidP="00D3463A">
      <w:pPr>
        <w:pStyle w:val="Odsekzoznamu"/>
        <w:ind w:left="1128" w:firstLine="0"/>
        <w:rPr>
          <w:rFonts w:ascii="Arial Narrow" w:hAnsi="Arial Narrow"/>
          <w:sz w:val="24"/>
          <w:szCs w:val="24"/>
        </w:rPr>
      </w:pPr>
    </w:p>
    <w:p w14:paraId="6D253B96" w14:textId="77777777" w:rsidR="00CE089F" w:rsidRPr="00044D59" w:rsidRDefault="00CE089F" w:rsidP="00CE089F">
      <w:pPr>
        <w:pStyle w:val="Odsekzoznamu"/>
        <w:spacing w:after="32" w:line="240" w:lineRule="auto"/>
        <w:ind w:left="768" w:right="0" w:firstLine="0"/>
        <w:jc w:val="both"/>
        <w:rPr>
          <w:rFonts w:ascii="Arial Narrow" w:hAnsi="Arial Narrow"/>
          <w:sz w:val="24"/>
          <w:szCs w:val="24"/>
        </w:rPr>
      </w:pPr>
    </w:p>
    <w:p w14:paraId="24D81017" w14:textId="7766BEBF" w:rsidR="007B11EC" w:rsidRDefault="00C45EDC" w:rsidP="00E1365D">
      <w:pPr>
        <w:pStyle w:val="Odsekzoznamu"/>
        <w:numPr>
          <w:ilvl w:val="0"/>
          <w:numId w:val="12"/>
        </w:numPr>
        <w:spacing w:after="0" w:line="276" w:lineRule="auto"/>
        <w:ind w:right="0"/>
        <w:jc w:val="both"/>
        <w:rPr>
          <w:rFonts w:ascii="Arial Narrow" w:hAnsi="Arial Narrow"/>
          <w:b/>
          <w:sz w:val="24"/>
          <w:szCs w:val="24"/>
        </w:rPr>
      </w:pPr>
      <w:r>
        <w:rPr>
          <w:rFonts w:ascii="Arial Narrow" w:hAnsi="Arial Narrow"/>
          <w:b/>
          <w:sz w:val="24"/>
          <w:szCs w:val="24"/>
        </w:rPr>
        <w:t>K</w:t>
      </w:r>
      <w:r w:rsidR="009621F0" w:rsidRPr="00923F48">
        <w:rPr>
          <w:rFonts w:ascii="Arial Narrow" w:hAnsi="Arial Narrow"/>
          <w:b/>
          <w:sz w:val="24"/>
          <w:szCs w:val="24"/>
        </w:rPr>
        <w:t xml:space="preserve">nižné publikácie  </w:t>
      </w:r>
    </w:p>
    <w:p w14:paraId="3F934F8A" w14:textId="173F3353" w:rsidR="00E1365D" w:rsidRPr="00C45EDC" w:rsidRDefault="00E1365D" w:rsidP="00C45EDC">
      <w:pPr>
        <w:pStyle w:val="Odsekzoznamu"/>
        <w:numPr>
          <w:ilvl w:val="0"/>
          <w:numId w:val="15"/>
        </w:numPr>
        <w:spacing w:after="0" w:line="276" w:lineRule="auto"/>
        <w:ind w:right="0"/>
        <w:jc w:val="both"/>
        <w:rPr>
          <w:rFonts w:ascii="Arial Narrow" w:hAnsi="Arial Narrow"/>
          <w:sz w:val="24"/>
          <w:szCs w:val="24"/>
        </w:rPr>
      </w:pPr>
      <w:r w:rsidRPr="00C45EDC">
        <w:rPr>
          <w:rFonts w:ascii="Arial Narrow" w:hAnsi="Arial Narrow"/>
          <w:sz w:val="24"/>
          <w:szCs w:val="24"/>
        </w:rPr>
        <w:t> Autori: Miloš Sklenka, Anna Šlosárová, Renáta Hornická, Miriama Blahušiaková</w:t>
      </w:r>
    </w:p>
    <w:p w14:paraId="6EA580E6" w14:textId="3D2C640F" w:rsidR="00E1365D" w:rsidRDefault="00E1365D" w:rsidP="00E1365D">
      <w:pPr>
        <w:pStyle w:val="Odsekzoznamu"/>
        <w:spacing w:after="0" w:line="276" w:lineRule="auto"/>
        <w:ind w:left="1488" w:right="0" w:firstLine="0"/>
        <w:jc w:val="both"/>
        <w:rPr>
          <w:rFonts w:ascii="Arial Narrow" w:hAnsi="Arial Narrow"/>
          <w:sz w:val="24"/>
          <w:szCs w:val="24"/>
        </w:rPr>
      </w:pPr>
      <w:r w:rsidRPr="00C45EDC">
        <w:rPr>
          <w:rFonts w:ascii="Arial Narrow" w:hAnsi="Arial Narrow"/>
          <w:b/>
          <w:bCs/>
          <w:sz w:val="24"/>
          <w:szCs w:val="24"/>
        </w:rPr>
        <w:t xml:space="preserve">Účtovníctvo </w:t>
      </w:r>
      <w:r w:rsidR="00C45EDC" w:rsidRPr="00C45EDC">
        <w:rPr>
          <w:rFonts w:ascii="Arial Narrow" w:hAnsi="Arial Narrow"/>
          <w:b/>
          <w:bCs/>
          <w:sz w:val="24"/>
          <w:szCs w:val="24"/>
        </w:rPr>
        <w:t>podnikateľských</w:t>
      </w:r>
      <w:r w:rsidRPr="00C45EDC">
        <w:rPr>
          <w:rFonts w:ascii="Arial Narrow" w:hAnsi="Arial Narrow"/>
          <w:b/>
          <w:bCs/>
          <w:sz w:val="24"/>
          <w:szCs w:val="24"/>
        </w:rPr>
        <w:t xml:space="preserve"> </w:t>
      </w:r>
      <w:r w:rsidR="00C45EDC" w:rsidRPr="00C45EDC">
        <w:rPr>
          <w:rFonts w:ascii="Arial Narrow" w:hAnsi="Arial Narrow"/>
          <w:b/>
          <w:bCs/>
          <w:sz w:val="24"/>
          <w:szCs w:val="24"/>
        </w:rPr>
        <w:t>subjektov</w:t>
      </w:r>
      <w:r>
        <w:rPr>
          <w:rFonts w:ascii="Arial Narrow" w:hAnsi="Arial Narrow"/>
          <w:sz w:val="24"/>
          <w:szCs w:val="24"/>
        </w:rPr>
        <w:t xml:space="preserve"> II</w:t>
      </w:r>
    </w:p>
    <w:p w14:paraId="318150E5" w14:textId="6B0768CA" w:rsidR="00E1365D" w:rsidRDefault="00E1365D" w:rsidP="00E1365D">
      <w:pPr>
        <w:pStyle w:val="Odsekzoznamu"/>
        <w:spacing w:after="0" w:line="276" w:lineRule="auto"/>
        <w:ind w:left="1488" w:right="0" w:firstLine="0"/>
        <w:jc w:val="both"/>
        <w:rPr>
          <w:rFonts w:ascii="Arial Narrow" w:hAnsi="Arial Narrow"/>
          <w:sz w:val="24"/>
          <w:szCs w:val="24"/>
        </w:rPr>
      </w:pPr>
      <w:r>
        <w:rPr>
          <w:rFonts w:ascii="Arial Narrow" w:hAnsi="Arial Narrow"/>
          <w:sz w:val="24"/>
          <w:szCs w:val="24"/>
        </w:rPr>
        <w:t xml:space="preserve">Vydavateľstvo: </w:t>
      </w:r>
      <w:proofErr w:type="spellStart"/>
      <w:r w:rsidR="00C45EDC">
        <w:rPr>
          <w:rFonts w:ascii="Arial Narrow" w:hAnsi="Arial Narrow"/>
          <w:sz w:val="24"/>
          <w:szCs w:val="24"/>
        </w:rPr>
        <w:t>Wolters</w:t>
      </w:r>
      <w:proofErr w:type="spellEnd"/>
      <w:r w:rsidR="00C45EDC">
        <w:rPr>
          <w:rFonts w:ascii="Arial Narrow" w:hAnsi="Arial Narrow"/>
          <w:sz w:val="24"/>
          <w:szCs w:val="24"/>
        </w:rPr>
        <w:t xml:space="preserve"> </w:t>
      </w:r>
      <w:proofErr w:type="spellStart"/>
      <w:r w:rsidR="00C45EDC">
        <w:rPr>
          <w:rFonts w:ascii="Arial Narrow" w:hAnsi="Arial Narrow"/>
          <w:sz w:val="24"/>
          <w:szCs w:val="24"/>
        </w:rPr>
        <w:t>Kluwer</w:t>
      </w:r>
      <w:proofErr w:type="spellEnd"/>
    </w:p>
    <w:p w14:paraId="09BD1769" w14:textId="77777777" w:rsidR="00C45EDC" w:rsidRDefault="009621F0" w:rsidP="00C45EDC">
      <w:pPr>
        <w:pStyle w:val="Odsekzoznamu"/>
        <w:numPr>
          <w:ilvl w:val="0"/>
          <w:numId w:val="15"/>
        </w:numPr>
        <w:spacing w:after="0" w:line="276" w:lineRule="auto"/>
        <w:ind w:right="0"/>
        <w:jc w:val="both"/>
        <w:rPr>
          <w:rFonts w:ascii="Arial Narrow" w:hAnsi="Arial Narrow"/>
          <w:sz w:val="24"/>
          <w:szCs w:val="24"/>
        </w:rPr>
      </w:pPr>
      <w:r w:rsidRPr="00C45EDC">
        <w:rPr>
          <w:rFonts w:ascii="Arial Narrow" w:hAnsi="Arial Narrow"/>
          <w:sz w:val="24"/>
          <w:szCs w:val="24"/>
        </w:rPr>
        <w:t xml:space="preserve">A. </w:t>
      </w:r>
      <w:proofErr w:type="spellStart"/>
      <w:r w:rsidRPr="00C45EDC">
        <w:rPr>
          <w:rFonts w:ascii="Arial Narrow" w:hAnsi="Arial Narrow"/>
          <w:sz w:val="24"/>
          <w:szCs w:val="24"/>
        </w:rPr>
        <w:t>Cenigová</w:t>
      </w:r>
      <w:proofErr w:type="spellEnd"/>
    </w:p>
    <w:p w14:paraId="53173203" w14:textId="1B8485E2" w:rsidR="00C45EDC" w:rsidRPr="00C45EDC" w:rsidRDefault="009621F0" w:rsidP="00C45EDC">
      <w:pPr>
        <w:pStyle w:val="Odsekzoznamu"/>
        <w:spacing w:after="0" w:line="276" w:lineRule="auto"/>
        <w:ind w:right="0" w:firstLine="696"/>
        <w:jc w:val="both"/>
        <w:rPr>
          <w:rFonts w:ascii="Arial Narrow" w:hAnsi="Arial Narrow"/>
          <w:sz w:val="24"/>
          <w:szCs w:val="24"/>
        </w:rPr>
      </w:pPr>
      <w:r w:rsidRPr="00C45EDC">
        <w:rPr>
          <w:rFonts w:ascii="Arial Narrow" w:hAnsi="Arial Narrow"/>
          <w:sz w:val="24"/>
          <w:szCs w:val="24"/>
        </w:rPr>
        <w:t xml:space="preserve"> </w:t>
      </w:r>
      <w:r w:rsidRPr="00C45EDC">
        <w:rPr>
          <w:rFonts w:ascii="Arial Narrow" w:hAnsi="Arial Narrow"/>
          <w:b/>
          <w:bCs/>
          <w:sz w:val="24"/>
          <w:szCs w:val="24"/>
        </w:rPr>
        <w:t>Podvojné účtovníctvo podnikateľov 202</w:t>
      </w:r>
      <w:r w:rsidR="0086548B">
        <w:rPr>
          <w:rFonts w:ascii="Arial Narrow" w:hAnsi="Arial Narrow"/>
          <w:b/>
          <w:bCs/>
          <w:sz w:val="24"/>
          <w:szCs w:val="24"/>
        </w:rPr>
        <w:t>2</w:t>
      </w:r>
      <w:r w:rsidRPr="00C45EDC">
        <w:rPr>
          <w:rFonts w:ascii="Arial Narrow" w:hAnsi="Arial Narrow"/>
          <w:b/>
          <w:bCs/>
          <w:sz w:val="24"/>
          <w:szCs w:val="24"/>
        </w:rPr>
        <w:t xml:space="preserve"> </w:t>
      </w:r>
    </w:p>
    <w:p w14:paraId="7BFACED0" w14:textId="77777777" w:rsidR="00087437" w:rsidRDefault="009621F0" w:rsidP="00C45EDC">
      <w:pPr>
        <w:pStyle w:val="Odsekzoznamu"/>
        <w:spacing w:after="0" w:line="276" w:lineRule="auto"/>
        <w:ind w:left="1488" w:right="0" w:firstLine="0"/>
        <w:jc w:val="both"/>
        <w:rPr>
          <w:rFonts w:ascii="Arial Narrow" w:hAnsi="Arial Narrow"/>
          <w:sz w:val="24"/>
          <w:szCs w:val="24"/>
        </w:rPr>
      </w:pPr>
      <w:r w:rsidRPr="00C45EDC">
        <w:rPr>
          <w:rFonts w:ascii="Arial Narrow" w:hAnsi="Arial Narrow"/>
          <w:sz w:val="24"/>
          <w:szCs w:val="24"/>
        </w:rPr>
        <w:t xml:space="preserve">Vydavateľstvo </w:t>
      </w:r>
      <w:proofErr w:type="spellStart"/>
      <w:r w:rsidRPr="00C45EDC">
        <w:rPr>
          <w:rFonts w:ascii="Arial Narrow" w:hAnsi="Arial Narrow"/>
          <w:sz w:val="24"/>
          <w:szCs w:val="24"/>
        </w:rPr>
        <w:t>Ceniga</w:t>
      </w:r>
      <w:proofErr w:type="spellEnd"/>
      <w:r w:rsidRPr="00C45EDC">
        <w:rPr>
          <w:rFonts w:ascii="Arial Narrow" w:hAnsi="Arial Narrow"/>
          <w:sz w:val="24"/>
          <w:szCs w:val="24"/>
        </w:rPr>
        <w:t xml:space="preserve"> 202</w:t>
      </w:r>
      <w:r w:rsidR="0086548B">
        <w:rPr>
          <w:rFonts w:ascii="Arial Narrow" w:hAnsi="Arial Narrow"/>
          <w:sz w:val="24"/>
          <w:szCs w:val="24"/>
        </w:rPr>
        <w:t>2</w:t>
      </w:r>
      <w:r w:rsidRPr="00C45EDC">
        <w:rPr>
          <w:rFonts w:ascii="Arial Narrow" w:hAnsi="Arial Narrow"/>
          <w:sz w:val="24"/>
          <w:szCs w:val="24"/>
        </w:rPr>
        <w:t xml:space="preserve"> </w:t>
      </w:r>
    </w:p>
    <w:p w14:paraId="0FEDF636" w14:textId="5F4BDA19" w:rsidR="007B11EC" w:rsidRPr="00C45EDC" w:rsidRDefault="009621F0" w:rsidP="00C45EDC">
      <w:pPr>
        <w:pStyle w:val="Odsekzoznamu"/>
        <w:spacing w:after="0" w:line="276" w:lineRule="auto"/>
        <w:ind w:left="1488" w:right="0" w:firstLine="0"/>
        <w:jc w:val="both"/>
        <w:rPr>
          <w:rFonts w:ascii="Arial Narrow" w:hAnsi="Arial Narrow"/>
          <w:sz w:val="24"/>
          <w:szCs w:val="24"/>
        </w:rPr>
      </w:pPr>
      <w:r w:rsidRPr="00C45EDC">
        <w:rPr>
          <w:rFonts w:ascii="Arial Narrow" w:hAnsi="Arial Narrow"/>
          <w:sz w:val="24"/>
          <w:szCs w:val="24"/>
        </w:rPr>
        <w:t xml:space="preserve"> </w:t>
      </w:r>
    </w:p>
    <w:p w14:paraId="46CFBF27" w14:textId="77777777" w:rsidR="00C44554" w:rsidRPr="00541679" w:rsidRDefault="00C44554" w:rsidP="00087437">
      <w:pPr>
        <w:pStyle w:val="Odsekzoznamu"/>
        <w:numPr>
          <w:ilvl w:val="0"/>
          <w:numId w:val="15"/>
        </w:numPr>
        <w:spacing w:after="32" w:line="240" w:lineRule="auto"/>
        <w:ind w:right="0"/>
        <w:jc w:val="both"/>
        <w:rPr>
          <w:rFonts w:ascii="Arial Narrow" w:hAnsi="Arial Narrow"/>
          <w:color w:val="000000" w:themeColor="text1"/>
          <w:sz w:val="24"/>
          <w:szCs w:val="24"/>
        </w:rPr>
      </w:pPr>
      <w:r w:rsidRPr="00541679">
        <w:rPr>
          <w:rFonts w:ascii="Arial Narrow" w:hAnsi="Arial Narrow"/>
          <w:color w:val="000000" w:themeColor="text1"/>
          <w:sz w:val="24"/>
          <w:szCs w:val="24"/>
        </w:rPr>
        <w:t xml:space="preserve">Autori : Ing. </w:t>
      </w:r>
      <w:proofErr w:type="spellStart"/>
      <w:r w:rsidRPr="00541679">
        <w:rPr>
          <w:rFonts w:ascii="Arial Narrow" w:hAnsi="Arial Narrow"/>
          <w:color w:val="000000" w:themeColor="text1"/>
          <w:sz w:val="24"/>
          <w:szCs w:val="24"/>
        </w:rPr>
        <w:t>Kaletová</w:t>
      </w:r>
      <w:proofErr w:type="spellEnd"/>
      <w:r w:rsidRPr="00541679">
        <w:rPr>
          <w:rFonts w:ascii="Arial Narrow" w:hAnsi="Arial Narrow"/>
          <w:color w:val="000000" w:themeColor="text1"/>
          <w:sz w:val="24"/>
          <w:szCs w:val="24"/>
        </w:rPr>
        <w:t xml:space="preserve">, Ing. </w:t>
      </w:r>
      <w:proofErr w:type="spellStart"/>
      <w:r w:rsidRPr="00541679">
        <w:rPr>
          <w:rFonts w:ascii="Arial Narrow" w:hAnsi="Arial Narrow"/>
          <w:color w:val="000000" w:themeColor="text1"/>
          <w:sz w:val="24"/>
          <w:szCs w:val="24"/>
        </w:rPr>
        <w:t>Turóciová</w:t>
      </w:r>
      <w:proofErr w:type="spellEnd"/>
      <w:r w:rsidRPr="00541679">
        <w:rPr>
          <w:rFonts w:ascii="Arial Narrow" w:hAnsi="Arial Narrow"/>
          <w:color w:val="000000" w:themeColor="text1"/>
          <w:sz w:val="24"/>
          <w:szCs w:val="24"/>
        </w:rPr>
        <w:t xml:space="preserve">, Ing. </w:t>
      </w:r>
      <w:proofErr w:type="spellStart"/>
      <w:r w:rsidRPr="00541679">
        <w:rPr>
          <w:rFonts w:ascii="Arial Narrow" w:hAnsi="Arial Narrow"/>
          <w:color w:val="000000" w:themeColor="text1"/>
          <w:sz w:val="24"/>
          <w:szCs w:val="24"/>
        </w:rPr>
        <w:t>Jurišová</w:t>
      </w:r>
      <w:proofErr w:type="spellEnd"/>
      <w:r w:rsidRPr="00541679">
        <w:rPr>
          <w:rFonts w:ascii="Arial Narrow" w:hAnsi="Arial Narrow"/>
          <w:color w:val="000000" w:themeColor="text1"/>
          <w:sz w:val="24"/>
          <w:szCs w:val="24"/>
        </w:rPr>
        <w:t xml:space="preserve">, Ing. </w:t>
      </w:r>
      <w:proofErr w:type="spellStart"/>
      <w:r w:rsidRPr="00541679">
        <w:rPr>
          <w:rFonts w:ascii="Arial Narrow" w:hAnsi="Arial Narrow"/>
          <w:color w:val="000000" w:themeColor="text1"/>
          <w:sz w:val="24"/>
          <w:szCs w:val="24"/>
        </w:rPr>
        <w:t>Adamíková</w:t>
      </w:r>
      <w:proofErr w:type="spellEnd"/>
      <w:r w:rsidRPr="00541679">
        <w:rPr>
          <w:rFonts w:ascii="Arial Narrow" w:hAnsi="Arial Narrow"/>
          <w:color w:val="000000" w:themeColor="text1"/>
          <w:sz w:val="24"/>
          <w:szCs w:val="24"/>
        </w:rPr>
        <w:t xml:space="preserve"> </w:t>
      </w:r>
    </w:p>
    <w:p w14:paraId="30D405DE" w14:textId="77777777" w:rsidR="00C44554" w:rsidRPr="00541679" w:rsidRDefault="00087437" w:rsidP="00C44554">
      <w:pPr>
        <w:pStyle w:val="Odsekzoznamu"/>
        <w:spacing w:after="32" w:line="240" w:lineRule="auto"/>
        <w:ind w:left="1416" w:right="0" w:firstLine="0"/>
        <w:jc w:val="both"/>
        <w:rPr>
          <w:rFonts w:ascii="Arial Narrow" w:hAnsi="Arial Narrow"/>
          <w:b/>
          <w:bCs/>
          <w:color w:val="000000" w:themeColor="text1"/>
          <w:sz w:val="24"/>
          <w:szCs w:val="24"/>
        </w:rPr>
      </w:pPr>
      <w:r w:rsidRPr="00541679">
        <w:rPr>
          <w:rFonts w:ascii="Arial Narrow" w:hAnsi="Arial Narrow"/>
          <w:b/>
          <w:bCs/>
          <w:color w:val="000000" w:themeColor="text1"/>
          <w:sz w:val="24"/>
          <w:szCs w:val="24"/>
        </w:rPr>
        <w:t xml:space="preserve">Účtovné súvzťažnosti Praktická príručka pre účtovníctvo 2024, </w:t>
      </w:r>
    </w:p>
    <w:p w14:paraId="14675312" w14:textId="295C5AD2" w:rsidR="00087437" w:rsidRPr="00541679" w:rsidRDefault="00C44554" w:rsidP="00C44554">
      <w:pPr>
        <w:pStyle w:val="Odsekzoznamu"/>
        <w:spacing w:after="32" w:line="240" w:lineRule="auto"/>
        <w:ind w:left="1416" w:right="0" w:firstLine="0"/>
        <w:jc w:val="both"/>
        <w:rPr>
          <w:rFonts w:ascii="Arial Narrow" w:hAnsi="Arial Narrow"/>
          <w:color w:val="000000" w:themeColor="text1"/>
          <w:sz w:val="24"/>
          <w:szCs w:val="24"/>
        </w:rPr>
      </w:pPr>
      <w:r w:rsidRPr="00541679">
        <w:rPr>
          <w:rFonts w:ascii="Arial Narrow" w:hAnsi="Arial Narrow"/>
          <w:color w:val="000000" w:themeColor="text1"/>
          <w:sz w:val="24"/>
          <w:szCs w:val="24"/>
        </w:rPr>
        <w:t>V</w:t>
      </w:r>
      <w:r w:rsidR="00087437" w:rsidRPr="00541679">
        <w:rPr>
          <w:rFonts w:ascii="Arial Narrow" w:hAnsi="Arial Narrow"/>
          <w:color w:val="000000" w:themeColor="text1"/>
          <w:sz w:val="24"/>
          <w:szCs w:val="24"/>
        </w:rPr>
        <w:t>ydavateľ</w:t>
      </w:r>
      <w:r w:rsidRPr="00541679">
        <w:rPr>
          <w:rFonts w:ascii="Arial Narrow" w:hAnsi="Arial Narrow"/>
          <w:color w:val="000000" w:themeColor="text1"/>
          <w:sz w:val="24"/>
          <w:szCs w:val="24"/>
        </w:rPr>
        <w:t xml:space="preserve">stvo : </w:t>
      </w:r>
      <w:r w:rsidR="00087437" w:rsidRPr="00541679">
        <w:rPr>
          <w:rFonts w:ascii="Arial Narrow" w:hAnsi="Arial Narrow"/>
          <w:color w:val="000000" w:themeColor="text1"/>
          <w:sz w:val="24"/>
          <w:szCs w:val="24"/>
        </w:rPr>
        <w:t xml:space="preserve"> Poradca podnikateľa </w:t>
      </w:r>
    </w:p>
    <w:p w14:paraId="4073E391" w14:textId="58F67764" w:rsidR="007B11EC" w:rsidRPr="00541679" w:rsidRDefault="007B11EC" w:rsidP="00087437">
      <w:pPr>
        <w:spacing w:after="32" w:line="276" w:lineRule="auto"/>
        <w:ind w:left="0" w:right="0" w:firstLine="0"/>
        <w:jc w:val="both"/>
        <w:rPr>
          <w:rFonts w:ascii="Arial Narrow" w:hAnsi="Arial Narrow"/>
          <w:color w:val="000000" w:themeColor="text1"/>
          <w:sz w:val="24"/>
          <w:szCs w:val="24"/>
        </w:rPr>
      </w:pPr>
    </w:p>
    <w:p w14:paraId="024F1092" w14:textId="77777777" w:rsidR="00D2649F" w:rsidRPr="00E1365D" w:rsidRDefault="00D2649F" w:rsidP="00C45EDC">
      <w:pPr>
        <w:spacing w:after="32" w:line="276" w:lineRule="auto"/>
        <w:ind w:right="0"/>
        <w:jc w:val="both"/>
        <w:rPr>
          <w:rFonts w:ascii="Arial Narrow" w:hAnsi="Arial Narrow"/>
          <w:sz w:val="24"/>
          <w:szCs w:val="24"/>
        </w:rPr>
      </w:pPr>
    </w:p>
    <w:p w14:paraId="383F4451" w14:textId="77777777" w:rsidR="00541679" w:rsidRPr="00541679" w:rsidRDefault="00541679" w:rsidP="00541679">
      <w:pPr>
        <w:ind w:left="0" w:firstLine="0"/>
        <w:rPr>
          <w:rFonts w:ascii="Arial Narrow" w:eastAsiaTheme="minorHAnsi" w:hAnsi="Arial Narrow" w:cstheme="minorBidi"/>
          <w:b/>
          <w:bCs/>
          <w:color w:val="auto"/>
          <w:sz w:val="24"/>
          <w:szCs w:val="24"/>
        </w:rPr>
      </w:pPr>
      <w:r w:rsidRPr="00541679">
        <w:rPr>
          <w:rFonts w:ascii="Arial Narrow" w:eastAsiaTheme="minorHAnsi" w:hAnsi="Arial Narrow" w:cstheme="minorBidi"/>
          <w:b/>
          <w:bCs/>
          <w:color w:val="auto"/>
          <w:sz w:val="24"/>
          <w:szCs w:val="24"/>
        </w:rPr>
        <w:t>Dane podnikateľov - v znení platnom od 01.01.2025</w:t>
      </w:r>
    </w:p>
    <w:p w14:paraId="6E2C977D" w14:textId="77777777"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Súčasná daňová sústava</w:t>
      </w:r>
    </w:p>
    <w:p w14:paraId="3FBC7BDD" w14:textId="77777777" w:rsidR="00541679" w:rsidRPr="00541679" w:rsidRDefault="00541679" w:rsidP="00541679">
      <w:pPr>
        <w:numPr>
          <w:ilvl w:val="0"/>
          <w:numId w:val="16"/>
        </w:numPr>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Daň z pridanej hodnoty – Zákon č. 222/2004 Z. z . v znení platnom od 01.01.2025</w:t>
      </w:r>
    </w:p>
    <w:p w14:paraId="440FCBEB" w14:textId="5B8D3025"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 xml:space="preserve"> Základné ustanovenia a pojmy,  zdaniteľná osoba, registračná povinnosť,  dodanie tovaru, dodanie služby, dovoz tovaru, miesto dodania, daňová povinnosť, základ dane, sadzby dane /základná a znížené/, oprava základu dane, oprava základu dane pri úplnom alebo čiastočnom </w:t>
      </w:r>
      <w:r w:rsidRPr="00541679">
        <w:rPr>
          <w:rFonts w:ascii="Arial Narrow" w:eastAsiaTheme="minorHAnsi" w:hAnsi="Arial Narrow" w:cstheme="minorBidi"/>
          <w:color w:val="auto"/>
          <w:sz w:val="24"/>
          <w:szCs w:val="24"/>
        </w:rPr>
        <w:lastRenderedPageBreak/>
        <w:t xml:space="preserve">nezaplatení protihodnoty za dodanie tovaru alebo služby, oslobodenie od dane, odpočítanie dane platiteľom, pomerné odpočítanie dane,  oprava a úprava odpočítanej dane, odpočítanie dane pri registrácii platiteľa a pri oneskorenej registrácii platiteľa, zdaňovacie obdobie,  vrátenie dane zahraničnej osobe, daňový zástupca, nadmerný odpočet, vedenie záznamov, faktúra, daňové priznanie, kontrolný výkaz, súhrnný výkaz, zrušenie registrácie. </w:t>
      </w:r>
    </w:p>
    <w:p w14:paraId="2D0ED010" w14:textId="77777777" w:rsidR="00541679" w:rsidRPr="00541679" w:rsidRDefault="00541679" w:rsidP="00541679">
      <w:pPr>
        <w:numPr>
          <w:ilvl w:val="0"/>
          <w:numId w:val="16"/>
        </w:numPr>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Daň z príjmov – Zákon č. 595/2003 Z. z. v znení platnom od 01.01.2025</w:t>
      </w:r>
    </w:p>
    <w:p w14:paraId="2FEB117E" w14:textId="527CD2CF"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 xml:space="preserve"> Základné ustanovenia a pojmy, zdaniteľná osoba, predmet dane, základ dane, daň fyzickej osoby, daň právnickej osoby,  úprava základu dane závislých osôb, vyberanie a platenie dane, zdaňovacie obdobie, príjmy zo závislej činnosti, príjmy z podnikania a inej samostatnej zárobkovej činnosti, príjmy z kapitálového majetku, ostatné príjmy, rezervy a opravné položky, daňová povinnosť, základ dane, sadzby dane, nezdaniteľné časti základu dane, oslobodenie od dane, daňové a nedaňové výdavky, odpisy , technické zhodnotenie, odpočet daňovej straty, úľavy na dani,  vyberanie a platenie dane, použitie podielu zaplatenej dane na osobitné účely,  platenie preddavkov na daň,  daňové priznanie. </w:t>
      </w:r>
    </w:p>
    <w:p w14:paraId="680ADC3F" w14:textId="77777777" w:rsidR="00541679" w:rsidRPr="00541679" w:rsidRDefault="00541679" w:rsidP="00541679">
      <w:pPr>
        <w:numPr>
          <w:ilvl w:val="0"/>
          <w:numId w:val="16"/>
        </w:numPr>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 xml:space="preserve">Správa daní - Zákon č. 563/2009 Z. z. o správe daní (daňový poriadok), v platnom znení </w:t>
      </w:r>
    </w:p>
    <w:p w14:paraId="03B0560D" w14:textId="77777777"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 xml:space="preserve">Predmet a rozsah pôsobnosti, základné pojmy, zásady správy daní, správca dane a osoby zúčastnené na správe daní, náklady správy daní, daňové priznanie,  opravné daňové priznanie, dodatočné daňové priznanie, počítanie lehôt, podania, miestne zisťovanie, daňová kontrola, index daňovej spoľahlivosti, platenie dane, daňové konanie, zodpovednosť za porušenie povinností, doručovanie písomností, poskytovanie údajov, rozhodnutia a jeho obsah, lehoty na rozhodnutie, registračná povinnosť daňových subjektov, postup pri ukončení činnosti, správne delikty, pozastavenie činnosti, vyrubovacie konanie, opravné prostriedky, daňové preplatky, daňové nedoplatky,  daňové exekučné konanie,  úprava postupu pre konkurz,  reštrukturalizáciu a oddlženie.  </w:t>
      </w:r>
    </w:p>
    <w:p w14:paraId="5955BD35" w14:textId="77777777" w:rsidR="00541679" w:rsidRPr="00541679" w:rsidRDefault="00541679" w:rsidP="00541679">
      <w:pPr>
        <w:ind w:left="0" w:firstLine="0"/>
        <w:rPr>
          <w:rFonts w:ascii="Arial Narrow" w:eastAsiaTheme="minorHAnsi" w:hAnsi="Arial Narrow" w:cstheme="minorBidi"/>
          <w:color w:val="auto"/>
          <w:sz w:val="24"/>
          <w:szCs w:val="24"/>
        </w:rPr>
      </w:pPr>
    </w:p>
    <w:p w14:paraId="494891FD" w14:textId="77777777"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 xml:space="preserve">Odporúčaná literatúra: </w:t>
      </w:r>
    </w:p>
    <w:p w14:paraId="00157ACB" w14:textId="77777777"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 xml:space="preserve">1) Zákon č. 222/2004 Z. z . v znení jeho dodatkov platných k 01.01.2025 </w:t>
      </w:r>
    </w:p>
    <w:p w14:paraId="53147617" w14:textId="77777777"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2) Zákon č. 595/2003 Z. z. v znení jeho dodatkov platných k 01.01.2025</w:t>
      </w:r>
    </w:p>
    <w:p w14:paraId="530340F9" w14:textId="77777777"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 xml:space="preserve">3) Zákon č. 563/2009 Z. z. v znení jeho dodatkov platných k 01.01.2025 </w:t>
      </w:r>
    </w:p>
    <w:p w14:paraId="3EE07828" w14:textId="77777777"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 xml:space="preserve">4) Daňový sprievodca 2025 s komentárom – Edícia Hospodárske noviny 2025 </w:t>
      </w:r>
    </w:p>
    <w:p w14:paraId="446E7F5B" w14:textId="77777777"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 xml:space="preserve">5) Daňové zákony pre účtovníkov 2025 – AUTORA </w:t>
      </w:r>
    </w:p>
    <w:p w14:paraId="5E18A451" w14:textId="77777777"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6) Daňový a účtovný poradca podnikateľa – 2024, 2025</w:t>
      </w:r>
    </w:p>
    <w:p w14:paraId="7264A498" w14:textId="77777777" w:rsidR="00541679" w:rsidRPr="00541679" w:rsidRDefault="00541679" w:rsidP="00541679">
      <w:pPr>
        <w:ind w:left="0" w:firstLine="0"/>
        <w:rPr>
          <w:rFonts w:ascii="Arial Narrow" w:eastAsiaTheme="minorHAnsi" w:hAnsi="Arial Narrow" w:cstheme="minorBidi"/>
          <w:color w:val="auto"/>
          <w:sz w:val="24"/>
          <w:szCs w:val="24"/>
        </w:rPr>
      </w:pPr>
      <w:r w:rsidRPr="00541679">
        <w:rPr>
          <w:rFonts w:ascii="Arial Narrow" w:eastAsiaTheme="minorHAnsi" w:hAnsi="Arial Narrow" w:cstheme="minorBidi"/>
          <w:color w:val="auto"/>
          <w:sz w:val="24"/>
          <w:szCs w:val="24"/>
        </w:rPr>
        <w:t>7</w:t>
      </w:r>
      <w:bookmarkStart w:id="0" w:name="_Hlk193210627"/>
      <w:r w:rsidRPr="00541679">
        <w:rPr>
          <w:rFonts w:ascii="Arial Narrow" w:eastAsiaTheme="minorHAnsi" w:hAnsi="Arial Narrow" w:cstheme="minorBidi"/>
          <w:color w:val="auto"/>
          <w:sz w:val="24"/>
          <w:szCs w:val="24"/>
        </w:rPr>
        <w:t>)</w:t>
      </w:r>
      <w:bookmarkEnd w:id="0"/>
      <w:r w:rsidRPr="00541679">
        <w:rPr>
          <w:rFonts w:ascii="Arial Narrow" w:eastAsiaTheme="minorHAnsi" w:hAnsi="Arial Narrow" w:cstheme="minorBidi"/>
          <w:color w:val="auto"/>
          <w:sz w:val="24"/>
          <w:szCs w:val="24"/>
        </w:rPr>
        <w:t xml:space="preserve"> Poradca podnikateľa, spol. s r. o., Žilina 2024, 2025</w:t>
      </w:r>
    </w:p>
    <w:p w14:paraId="36E54F90" w14:textId="4B8F0DDA" w:rsidR="00E7514B" w:rsidRDefault="00E7514B" w:rsidP="00541679">
      <w:pPr>
        <w:spacing w:after="215" w:line="276" w:lineRule="auto"/>
        <w:ind w:left="0" w:right="0" w:firstLine="0"/>
        <w:jc w:val="both"/>
        <w:rPr>
          <w:rFonts w:ascii="Arial Narrow" w:hAnsi="Arial Narrow"/>
          <w:sz w:val="24"/>
          <w:szCs w:val="24"/>
        </w:rPr>
      </w:pPr>
    </w:p>
    <w:p w14:paraId="223091ED" w14:textId="441B64F0" w:rsidR="007B11EC" w:rsidRPr="00923F48" w:rsidRDefault="009621F0" w:rsidP="00E7514B">
      <w:pPr>
        <w:pStyle w:val="Nadpis1"/>
        <w:numPr>
          <w:ilvl w:val="0"/>
          <w:numId w:val="0"/>
        </w:numPr>
        <w:spacing w:line="276" w:lineRule="auto"/>
        <w:jc w:val="both"/>
        <w:rPr>
          <w:rFonts w:ascii="Arial Narrow" w:hAnsi="Arial Narrow"/>
          <w:sz w:val="24"/>
          <w:szCs w:val="24"/>
        </w:rPr>
      </w:pPr>
      <w:r w:rsidRPr="00923F48">
        <w:rPr>
          <w:rFonts w:ascii="Arial Narrow" w:hAnsi="Arial Narrow"/>
          <w:sz w:val="24"/>
          <w:szCs w:val="24"/>
        </w:rPr>
        <w:t>Auditing v základných pojmoch - v znení platnom od 01.01.202</w:t>
      </w:r>
      <w:r w:rsidR="00541679">
        <w:rPr>
          <w:rFonts w:ascii="Arial Narrow" w:hAnsi="Arial Narrow"/>
          <w:sz w:val="24"/>
          <w:szCs w:val="24"/>
        </w:rPr>
        <w:t>5</w:t>
      </w:r>
      <w:r w:rsidRPr="00923F48">
        <w:rPr>
          <w:rFonts w:ascii="Arial Narrow" w:hAnsi="Arial Narrow"/>
          <w:sz w:val="24"/>
          <w:szCs w:val="24"/>
        </w:rPr>
        <w:t xml:space="preserve">  </w:t>
      </w:r>
    </w:p>
    <w:p w14:paraId="3C5AEF4A" w14:textId="3D2C34D4" w:rsidR="007B11EC" w:rsidRPr="00923F48" w:rsidRDefault="009621F0" w:rsidP="00923F48">
      <w:pPr>
        <w:numPr>
          <w:ilvl w:val="0"/>
          <w:numId w:val="5"/>
        </w:numPr>
        <w:spacing w:line="276" w:lineRule="auto"/>
        <w:ind w:right="4"/>
        <w:jc w:val="both"/>
        <w:rPr>
          <w:rFonts w:ascii="Arial Narrow" w:hAnsi="Arial Narrow"/>
          <w:sz w:val="24"/>
          <w:szCs w:val="24"/>
        </w:rPr>
      </w:pPr>
      <w:r w:rsidRPr="00923F48">
        <w:rPr>
          <w:rFonts w:ascii="Arial Narrow" w:hAnsi="Arial Narrow"/>
          <w:sz w:val="24"/>
          <w:szCs w:val="24"/>
        </w:rPr>
        <w:t xml:space="preserve">Zákon č. 423/2015 Z. z. o štatutárnom audite • základné pojmy • práva a povinnosti asistenta audítora • práva a povinnosti audítora a audítorských spoločností • náležitosti týkajúce sa asistentov </w:t>
      </w:r>
      <w:r w:rsidRPr="00923F48">
        <w:rPr>
          <w:rFonts w:ascii="Arial Narrow" w:hAnsi="Arial Narrow"/>
          <w:sz w:val="24"/>
          <w:szCs w:val="24"/>
        </w:rPr>
        <w:lastRenderedPageBreak/>
        <w:t xml:space="preserve">audítora • Slovenská komora audítorov, práva, povinnosti a organizácia • postavenie a úlohy Úradu pre dohľad nad výkonom auditu  </w:t>
      </w:r>
    </w:p>
    <w:p w14:paraId="079ABA96" w14:textId="590BC6D7" w:rsidR="007B11EC" w:rsidRPr="00923F48" w:rsidRDefault="009621F0" w:rsidP="00923F48">
      <w:pPr>
        <w:numPr>
          <w:ilvl w:val="0"/>
          <w:numId w:val="5"/>
        </w:numPr>
        <w:spacing w:line="276" w:lineRule="auto"/>
        <w:ind w:right="4"/>
        <w:jc w:val="both"/>
        <w:rPr>
          <w:rFonts w:ascii="Arial Narrow" w:hAnsi="Arial Narrow"/>
          <w:sz w:val="24"/>
          <w:szCs w:val="24"/>
        </w:rPr>
      </w:pPr>
      <w:r w:rsidRPr="00923F48">
        <w:rPr>
          <w:rFonts w:ascii="Arial Narrow" w:hAnsi="Arial Narrow"/>
          <w:sz w:val="24"/>
          <w:szCs w:val="24"/>
        </w:rPr>
        <w:t>Zákon č. 431/2002 Z.</w:t>
      </w:r>
      <w:r w:rsidR="00716B31">
        <w:rPr>
          <w:rFonts w:ascii="Arial Narrow" w:hAnsi="Arial Narrow"/>
          <w:sz w:val="24"/>
          <w:szCs w:val="24"/>
        </w:rPr>
        <w:t xml:space="preserve"> </w:t>
      </w:r>
      <w:r w:rsidRPr="00923F48">
        <w:rPr>
          <w:rFonts w:ascii="Arial Narrow" w:hAnsi="Arial Narrow"/>
          <w:sz w:val="24"/>
          <w:szCs w:val="24"/>
        </w:rPr>
        <w:t xml:space="preserve">z. v znení jeho dodatkov • overovanie účtovnej závierky audítorom • overenie výročnej správy audítorom • odstúpenie a odvolanie audítora • výbor pre audit  </w:t>
      </w:r>
    </w:p>
    <w:p w14:paraId="50CA8309" w14:textId="2BC46F31" w:rsidR="00591A38" w:rsidRPr="00541679" w:rsidRDefault="009621F0" w:rsidP="00541679">
      <w:pPr>
        <w:numPr>
          <w:ilvl w:val="0"/>
          <w:numId w:val="5"/>
        </w:numPr>
        <w:spacing w:line="276" w:lineRule="auto"/>
        <w:ind w:right="4"/>
        <w:jc w:val="both"/>
        <w:rPr>
          <w:rFonts w:ascii="Arial Narrow" w:hAnsi="Arial Narrow"/>
          <w:sz w:val="24"/>
          <w:szCs w:val="24"/>
        </w:rPr>
      </w:pPr>
      <w:r w:rsidRPr="00923F48">
        <w:rPr>
          <w:rFonts w:ascii="Arial Narrow" w:hAnsi="Arial Narrow"/>
          <w:sz w:val="24"/>
          <w:szCs w:val="24"/>
        </w:rPr>
        <w:t xml:space="preserve">ISA – Medzinárodné audítorské štandardy – vydanie IFAC 2016 -2017 • základné pojmy, definície a slovník pojmov • ciele nezávislého audítora • audítorská dokumentácia • plánovanie auditu účtovnej závierky • riziká významných nesprávností • reakcia audítora na zistené riziká • audítorské dôkazy • fázy výkonu auditu • audítorské správy • iné audítorské služby  </w:t>
      </w:r>
    </w:p>
    <w:p w14:paraId="1D66E4B8" w14:textId="77777777" w:rsidR="007B11EC" w:rsidRPr="00923F48" w:rsidRDefault="009621F0" w:rsidP="00923F48">
      <w:pPr>
        <w:spacing w:after="157" w:line="276" w:lineRule="auto"/>
        <w:ind w:left="-5" w:right="0"/>
        <w:jc w:val="both"/>
        <w:rPr>
          <w:rFonts w:ascii="Arial Narrow" w:hAnsi="Arial Narrow"/>
          <w:sz w:val="24"/>
          <w:szCs w:val="24"/>
        </w:rPr>
      </w:pPr>
      <w:r w:rsidRPr="00923F48">
        <w:rPr>
          <w:rFonts w:ascii="Arial Narrow" w:hAnsi="Arial Narrow"/>
          <w:b/>
          <w:sz w:val="24"/>
          <w:szCs w:val="24"/>
        </w:rPr>
        <w:t xml:space="preserve">Odporúčaná literatúra:  </w:t>
      </w:r>
    </w:p>
    <w:p w14:paraId="0F6120B1" w14:textId="77777777" w:rsidR="007B11EC" w:rsidRPr="00923F48" w:rsidRDefault="009621F0" w:rsidP="00923F48">
      <w:pPr>
        <w:spacing w:after="159" w:line="276" w:lineRule="auto"/>
        <w:ind w:left="-5" w:right="0"/>
        <w:jc w:val="both"/>
        <w:rPr>
          <w:rFonts w:ascii="Arial Narrow" w:hAnsi="Arial Narrow"/>
          <w:sz w:val="24"/>
          <w:szCs w:val="24"/>
        </w:rPr>
      </w:pPr>
      <w:r w:rsidRPr="00923F48">
        <w:rPr>
          <w:rFonts w:ascii="Arial Narrow" w:hAnsi="Arial Narrow"/>
          <w:b/>
          <w:i/>
          <w:sz w:val="24"/>
          <w:szCs w:val="24"/>
        </w:rPr>
        <w:t xml:space="preserve">a) zákony </w:t>
      </w:r>
    </w:p>
    <w:p w14:paraId="1C2FE279" w14:textId="720FEBF5" w:rsidR="007B11EC" w:rsidRPr="00923F48" w:rsidRDefault="009621F0" w:rsidP="00923F48">
      <w:pPr>
        <w:numPr>
          <w:ilvl w:val="0"/>
          <w:numId w:val="6"/>
        </w:numPr>
        <w:spacing w:line="276" w:lineRule="auto"/>
        <w:ind w:right="4" w:hanging="230"/>
        <w:jc w:val="both"/>
        <w:rPr>
          <w:rFonts w:ascii="Arial Narrow" w:hAnsi="Arial Narrow"/>
          <w:sz w:val="24"/>
          <w:szCs w:val="24"/>
        </w:rPr>
      </w:pPr>
      <w:r w:rsidRPr="00923F48">
        <w:rPr>
          <w:rFonts w:ascii="Arial Narrow" w:hAnsi="Arial Narrow"/>
          <w:sz w:val="24"/>
          <w:szCs w:val="24"/>
        </w:rPr>
        <w:t xml:space="preserve">Zákon </w:t>
      </w:r>
      <w:r w:rsidR="00716B31" w:rsidRPr="00616D9E">
        <w:rPr>
          <w:rFonts w:ascii="Arial Narrow" w:hAnsi="Arial Narrow"/>
          <w:sz w:val="24"/>
          <w:szCs w:val="24"/>
        </w:rPr>
        <w:t>č.</w:t>
      </w:r>
      <w:r w:rsidR="00716B31">
        <w:rPr>
          <w:rFonts w:ascii="Arial Narrow" w:hAnsi="Arial Narrow"/>
          <w:sz w:val="24"/>
          <w:szCs w:val="24"/>
        </w:rPr>
        <w:t xml:space="preserve"> </w:t>
      </w:r>
      <w:r w:rsidRPr="00923F48">
        <w:rPr>
          <w:rFonts w:ascii="Arial Narrow" w:hAnsi="Arial Narrow"/>
          <w:sz w:val="24"/>
          <w:szCs w:val="24"/>
        </w:rPr>
        <w:t xml:space="preserve">423/2015 Z. z. o štatutárnom audite a zmene a doplnení zákona </w:t>
      </w:r>
      <w:r w:rsidR="00716B31" w:rsidRPr="00616D9E">
        <w:rPr>
          <w:rFonts w:ascii="Arial Narrow" w:hAnsi="Arial Narrow"/>
          <w:sz w:val="24"/>
          <w:szCs w:val="24"/>
        </w:rPr>
        <w:t>č.</w:t>
      </w:r>
      <w:r w:rsidR="00716B31">
        <w:rPr>
          <w:rFonts w:ascii="Arial Narrow" w:hAnsi="Arial Narrow"/>
          <w:sz w:val="24"/>
          <w:szCs w:val="24"/>
        </w:rPr>
        <w:t xml:space="preserve"> </w:t>
      </w:r>
      <w:r w:rsidRPr="00923F48">
        <w:rPr>
          <w:rFonts w:ascii="Arial Narrow" w:hAnsi="Arial Narrow"/>
          <w:sz w:val="24"/>
          <w:szCs w:val="24"/>
        </w:rPr>
        <w:t>431/2002 Z.</w:t>
      </w:r>
      <w:r w:rsidR="00716B31">
        <w:rPr>
          <w:rFonts w:ascii="Arial Narrow" w:hAnsi="Arial Narrow"/>
          <w:sz w:val="24"/>
          <w:szCs w:val="24"/>
        </w:rPr>
        <w:t xml:space="preserve"> </w:t>
      </w:r>
      <w:r w:rsidRPr="00923F48">
        <w:rPr>
          <w:rFonts w:ascii="Arial Narrow" w:hAnsi="Arial Narrow"/>
          <w:sz w:val="24"/>
          <w:szCs w:val="24"/>
        </w:rPr>
        <w:t xml:space="preserve">z.  </w:t>
      </w:r>
    </w:p>
    <w:p w14:paraId="740FE9F6" w14:textId="77777777" w:rsidR="007B11EC" w:rsidRPr="00923F48" w:rsidRDefault="009621F0" w:rsidP="00E7514B">
      <w:pPr>
        <w:numPr>
          <w:ilvl w:val="0"/>
          <w:numId w:val="6"/>
        </w:numPr>
        <w:spacing w:line="240" w:lineRule="auto"/>
        <w:ind w:right="4" w:hanging="230"/>
        <w:jc w:val="both"/>
        <w:rPr>
          <w:rFonts w:ascii="Arial Narrow" w:hAnsi="Arial Narrow"/>
          <w:sz w:val="24"/>
          <w:szCs w:val="24"/>
        </w:rPr>
      </w:pPr>
      <w:r w:rsidRPr="00923F48">
        <w:rPr>
          <w:rFonts w:ascii="Arial Narrow" w:hAnsi="Arial Narrow"/>
          <w:sz w:val="24"/>
          <w:szCs w:val="24"/>
        </w:rPr>
        <w:t xml:space="preserve">PRÍRUČKA MEDZINÁRODNÝCH USMERNENÍ NA KONTROLU KVALITY, AUDIT, PREVERENIE, INÉ UISŤOVACIE A SÚVISIACE SLUŽBY, vydanie IFAC 2016 – 2017, tri zväzky, </w:t>
      </w:r>
      <w:hyperlink r:id="rId10">
        <w:r w:rsidRPr="00923F48">
          <w:rPr>
            <w:rFonts w:ascii="Arial Narrow" w:hAnsi="Arial Narrow"/>
            <w:sz w:val="24"/>
            <w:szCs w:val="24"/>
          </w:rPr>
          <w:t xml:space="preserve"> </w:t>
        </w:r>
      </w:hyperlink>
      <w:hyperlink r:id="rId11">
        <w:r w:rsidRPr="00923F48">
          <w:rPr>
            <w:rFonts w:ascii="Arial Narrow" w:hAnsi="Arial Narrow"/>
            <w:color w:val="0563C1"/>
            <w:sz w:val="24"/>
            <w:szCs w:val="24"/>
            <w:u w:val="single" w:color="0563C1"/>
          </w:rPr>
          <w:t>www.udva.sk</w:t>
        </w:r>
      </w:hyperlink>
      <w:hyperlink r:id="rId12">
        <w:r w:rsidRPr="00923F48">
          <w:rPr>
            <w:rFonts w:ascii="Arial Narrow" w:hAnsi="Arial Narrow"/>
            <w:sz w:val="24"/>
            <w:szCs w:val="24"/>
          </w:rPr>
          <w:t xml:space="preserve"> </w:t>
        </w:r>
      </w:hyperlink>
    </w:p>
    <w:p w14:paraId="753FB3BE" w14:textId="6A0DB628" w:rsidR="00A248A3" w:rsidRPr="00541679" w:rsidRDefault="009621F0" w:rsidP="00541679">
      <w:pPr>
        <w:numPr>
          <w:ilvl w:val="0"/>
          <w:numId w:val="6"/>
        </w:numPr>
        <w:spacing w:after="202" w:line="240" w:lineRule="auto"/>
        <w:ind w:right="4" w:hanging="230"/>
        <w:jc w:val="both"/>
        <w:rPr>
          <w:rFonts w:ascii="Arial Narrow" w:hAnsi="Arial Narrow"/>
          <w:sz w:val="24"/>
          <w:szCs w:val="24"/>
        </w:rPr>
      </w:pPr>
      <w:r w:rsidRPr="00923F48">
        <w:rPr>
          <w:rFonts w:ascii="Arial Narrow" w:hAnsi="Arial Narrow"/>
          <w:sz w:val="24"/>
          <w:szCs w:val="24"/>
        </w:rPr>
        <w:t>Zákon č. 431/2002 Z.</w:t>
      </w:r>
      <w:r w:rsidR="00090DD5">
        <w:rPr>
          <w:rFonts w:ascii="Arial Narrow" w:hAnsi="Arial Narrow"/>
          <w:sz w:val="24"/>
          <w:szCs w:val="24"/>
        </w:rPr>
        <w:t xml:space="preserve"> </w:t>
      </w:r>
      <w:r w:rsidRPr="00923F48">
        <w:rPr>
          <w:rFonts w:ascii="Arial Narrow" w:hAnsi="Arial Narrow"/>
          <w:sz w:val="24"/>
          <w:szCs w:val="24"/>
        </w:rPr>
        <w:t xml:space="preserve">z. v znení </w:t>
      </w:r>
      <w:r w:rsidR="00591A38">
        <w:rPr>
          <w:rFonts w:ascii="Arial Narrow" w:hAnsi="Arial Narrow"/>
          <w:sz w:val="24"/>
          <w:szCs w:val="24"/>
        </w:rPr>
        <w:t>neskorších predpisov</w:t>
      </w:r>
      <w:r w:rsidRPr="00923F48">
        <w:rPr>
          <w:rFonts w:ascii="Arial Narrow" w:hAnsi="Arial Narrow"/>
          <w:sz w:val="24"/>
          <w:szCs w:val="24"/>
        </w:rPr>
        <w:t xml:space="preserve"> </w:t>
      </w:r>
    </w:p>
    <w:p w14:paraId="4E875ECC" w14:textId="61868BF9" w:rsidR="007B11EC" w:rsidRDefault="009621F0" w:rsidP="00E7514B">
      <w:pPr>
        <w:spacing w:after="159" w:line="276" w:lineRule="auto"/>
        <w:ind w:left="-5" w:right="0"/>
        <w:jc w:val="both"/>
        <w:rPr>
          <w:rFonts w:ascii="Arial Narrow" w:hAnsi="Arial Narrow"/>
          <w:b/>
          <w:i/>
          <w:sz w:val="24"/>
          <w:szCs w:val="24"/>
        </w:rPr>
      </w:pPr>
      <w:r w:rsidRPr="00923F48">
        <w:rPr>
          <w:rFonts w:ascii="Arial Narrow" w:hAnsi="Arial Narrow"/>
          <w:b/>
          <w:i/>
          <w:sz w:val="24"/>
          <w:szCs w:val="24"/>
        </w:rPr>
        <w:t xml:space="preserve">b) knižné publikácie: </w:t>
      </w:r>
    </w:p>
    <w:p w14:paraId="479B11D4" w14:textId="48996521" w:rsidR="00777564" w:rsidRPr="004E0BCB" w:rsidRDefault="004E0BCB" w:rsidP="00A248A3">
      <w:pPr>
        <w:spacing w:after="0" w:line="276" w:lineRule="auto"/>
        <w:ind w:left="-5" w:right="0"/>
        <w:jc w:val="both"/>
        <w:rPr>
          <w:rFonts w:ascii="Arial Narrow" w:hAnsi="Arial Narrow"/>
          <w:bCs/>
          <w:iCs/>
          <w:sz w:val="24"/>
          <w:szCs w:val="24"/>
        </w:rPr>
      </w:pPr>
      <w:r>
        <w:rPr>
          <w:rFonts w:ascii="Arial Narrow" w:hAnsi="Arial Narrow"/>
          <w:bCs/>
          <w:iCs/>
          <w:sz w:val="24"/>
          <w:szCs w:val="24"/>
        </w:rPr>
        <w:t xml:space="preserve">Ľudmila </w:t>
      </w:r>
      <w:proofErr w:type="spellStart"/>
      <w:r>
        <w:rPr>
          <w:rFonts w:ascii="Arial Narrow" w:hAnsi="Arial Narrow"/>
          <w:bCs/>
          <w:iCs/>
          <w:sz w:val="24"/>
          <w:szCs w:val="24"/>
        </w:rPr>
        <w:t>Buzgová</w:t>
      </w:r>
      <w:proofErr w:type="spellEnd"/>
      <w:r>
        <w:rPr>
          <w:rFonts w:ascii="Arial Narrow" w:hAnsi="Arial Narrow"/>
          <w:bCs/>
          <w:iCs/>
          <w:sz w:val="24"/>
          <w:szCs w:val="24"/>
        </w:rPr>
        <w:t xml:space="preserve"> – Pavel Hrivnák – Katarína </w:t>
      </w:r>
      <w:proofErr w:type="spellStart"/>
      <w:r>
        <w:rPr>
          <w:rFonts w:ascii="Arial Narrow" w:hAnsi="Arial Narrow"/>
          <w:bCs/>
          <w:iCs/>
          <w:sz w:val="24"/>
          <w:szCs w:val="24"/>
        </w:rPr>
        <w:t>Kaszasová</w:t>
      </w:r>
      <w:proofErr w:type="spellEnd"/>
      <w:r>
        <w:rPr>
          <w:rFonts w:ascii="Arial Narrow" w:hAnsi="Arial Narrow"/>
          <w:bCs/>
          <w:iCs/>
          <w:sz w:val="24"/>
          <w:szCs w:val="24"/>
        </w:rPr>
        <w:t xml:space="preserve"> – Darina </w:t>
      </w:r>
      <w:proofErr w:type="spellStart"/>
      <w:r>
        <w:rPr>
          <w:rFonts w:ascii="Arial Narrow" w:hAnsi="Arial Narrow"/>
          <w:bCs/>
          <w:iCs/>
          <w:sz w:val="24"/>
          <w:szCs w:val="24"/>
        </w:rPr>
        <w:t>Saxunová</w:t>
      </w:r>
      <w:proofErr w:type="spellEnd"/>
      <w:r>
        <w:rPr>
          <w:rFonts w:ascii="Arial Narrow" w:hAnsi="Arial Narrow"/>
          <w:bCs/>
          <w:iCs/>
          <w:sz w:val="24"/>
          <w:szCs w:val="24"/>
        </w:rPr>
        <w:t xml:space="preserve"> – Alexandra Sviteková: ZÁKLADY AUDITU,  vydavateľ Univerzita Komenského v Bratislave (nové)</w:t>
      </w:r>
    </w:p>
    <w:p w14:paraId="01B4BA3C" w14:textId="186DCE96" w:rsidR="00A248A3" w:rsidRPr="004E0BCB" w:rsidRDefault="00A248A3" w:rsidP="00A248A3">
      <w:pPr>
        <w:spacing w:after="0" w:line="276" w:lineRule="auto"/>
        <w:ind w:left="-5" w:right="0"/>
        <w:jc w:val="both"/>
        <w:rPr>
          <w:rFonts w:ascii="Arial Narrow" w:hAnsi="Arial Narrow"/>
          <w:bCs/>
          <w:iCs/>
          <w:sz w:val="24"/>
          <w:szCs w:val="24"/>
        </w:rPr>
      </w:pPr>
      <w:r w:rsidRPr="004E0BCB">
        <w:rPr>
          <w:rFonts w:ascii="Arial Narrow" w:hAnsi="Arial Narrow"/>
          <w:bCs/>
          <w:iCs/>
          <w:sz w:val="24"/>
          <w:szCs w:val="24"/>
        </w:rPr>
        <w:t xml:space="preserve">Katarína </w:t>
      </w:r>
      <w:proofErr w:type="spellStart"/>
      <w:r w:rsidRPr="004E0BCB">
        <w:rPr>
          <w:rFonts w:ascii="Arial Narrow" w:hAnsi="Arial Narrow"/>
          <w:bCs/>
          <w:iCs/>
          <w:sz w:val="24"/>
          <w:szCs w:val="24"/>
        </w:rPr>
        <w:t>Kaszasová</w:t>
      </w:r>
      <w:proofErr w:type="spellEnd"/>
      <w:r w:rsidRPr="004E0BCB">
        <w:rPr>
          <w:rFonts w:ascii="Arial Narrow" w:hAnsi="Arial Narrow"/>
          <w:bCs/>
          <w:iCs/>
          <w:sz w:val="24"/>
          <w:szCs w:val="24"/>
        </w:rPr>
        <w:t xml:space="preserve"> – Ivan Paule Audítorstvo </w:t>
      </w:r>
    </w:p>
    <w:p w14:paraId="3A4CA62E" w14:textId="11632F50" w:rsidR="007B11EC" w:rsidRPr="00923F48" w:rsidRDefault="00E7514B" w:rsidP="00A248A3">
      <w:pPr>
        <w:spacing w:after="0" w:line="276" w:lineRule="auto"/>
        <w:ind w:left="-5" w:right="4"/>
        <w:jc w:val="both"/>
        <w:rPr>
          <w:rFonts w:ascii="Arial Narrow" w:hAnsi="Arial Narrow"/>
          <w:sz w:val="24"/>
          <w:szCs w:val="24"/>
        </w:rPr>
      </w:pPr>
      <w:r>
        <w:rPr>
          <w:rFonts w:ascii="Arial Narrow" w:hAnsi="Arial Narrow"/>
          <w:sz w:val="24"/>
          <w:szCs w:val="24"/>
        </w:rPr>
        <w:t>L</w:t>
      </w:r>
      <w:r w:rsidR="009621F0" w:rsidRPr="00923F48">
        <w:rPr>
          <w:rFonts w:ascii="Arial Narrow" w:hAnsi="Arial Narrow"/>
          <w:sz w:val="24"/>
          <w:szCs w:val="24"/>
        </w:rPr>
        <w:t xml:space="preserve">adislav </w:t>
      </w:r>
      <w:proofErr w:type="spellStart"/>
      <w:r w:rsidR="009621F0" w:rsidRPr="00923F48">
        <w:rPr>
          <w:rFonts w:ascii="Arial Narrow" w:hAnsi="Arial Narrow"/>
          <w:sz w:val="24"/>
          <w:szCs w:val="24"/>
        </w:rPr>
        <w:t>Kareš</w:t>
      </w:r>
      <w:proofErr w:type="spellEnd"/>
      <w:r w:rsidR="009621F0" w:rsidRPr="00923F48">
        <w:rPr>
          <w:rFonts w:ascii="Arial Narrow" w:hAnsi="Arial Narrow"/>
          <w:sz w:val="24"/>
          <w:szCs w:val="24"/>
        </w:rPr>
        <w:t xml:space="preserve"> – Petra </w:t>
      </w:r>
      <w:proofErr w:type="spellStart"/>
      <w:r w:rsidR="009621F0" w:rsidRPr="00923F48">
        <w:rPr>
          <w:rFonts w:ascii="Arial Narrow" w:hAnsi="Arial Narrow"/>
          <w:sz w:val="24"/>
          <w:szCs w:val="24"/>
        </w:rPr>
        <w:t>Krišková</w:t>
      </w:r>
      <w:proofErr w:type="spellEnd"/>
      <w:r w:rsidR="009621F0" w:rsidRPr="00923F48">
        <w:rPr>
          <w:rFonts w:ascii="Arial Narrow" w:hAnsi="Arial Narrow"/>
          <w:sz w:val="24"/>
          <w:szCs w:val="24"/>
        </w:rPr>
        <w:t xml:space="preserve">: Audítorské štandardy – Vydavateľstvo WOLTERS KLUWER   </w:t>
      </w:r>
    </w:p>
    <w:p w14:paraId="29900608" w14:textId="77777777" w:rsidR="007B11EC" w:rsidRPr="00923F48" w:rsidRDefault="009621F0" w:rsidP="00923F48">
      <w:pPr>
        <w:spacing w:after="161" w:line="276" w:lineRule="auto"/>
        <w:ind w:left="0" w:right="0" w:firstLine="0"/>
        <w:jc w:val="both"/>
        <w:rPr>
          <w:rFonts w:ascii="Arial Narrow" w:hAnsi="Arial Narrow"/>
          <w:sz w:val="24"/>
          <w:szCs w:val="24"/>
        </w:rPr>
      </w:pPr>
      <w:r w:rsidRPr="00923F48">
        <w:rPr>
          <w:rFonts w:ascii="Arial Narrow" w:hAnsi="Arial Narrow"/>
          <w:sz w:val="24"/>
          <w:szCs w:val="24"/>
        </w:rPr>
        <w:t xml:space="preserve"> </w:t>
      </w:r>
    </w:p>
    <w:p w14:paraId="15443A26" w14:textId="77777777" w:rsidR="007B11EC" w:rsidRPr="00923F48" w:rsidRDefault="009621F0" w:rsidP="00923F48">
      <w:pPr>
        <w:spacing w:after="158" w:line="276" w:lineRule="auto"/>
        <w:ind w:left="0" w:right="0" w:firstLine="0"/>
        <w:jc w:val="both"/>
        <w:rPr>
          <w:rFonts w:ascii="Arial Narrow" w:hAnsi="Arial Narrow"/>
          <w:sz w:val="24"/>
          <w:szCs w:val="24"/>
        </w:rPr>
      </w:pPr>
      <w:r w:rsidRPr="00923F48">
        <w:rPr>
          <w:rFonts w:ascii="Arial Narrow" w:hAnsi="Arial Narrow"/>
          <w:sz w:val="24"/>
          <w:szCs w:val="24"/>
        </w:rPr>
        <w:t xml:space="preserve"> </w:t>
      </w:r>
    </w:p>
    <w:p w14:paraId="75778417" w14:textId="38ED0DFB" w:rsidR="007B11EC" w:rsidRPr="00923F48" w:rsidRDefault="009621F0" w:rsidP="00923F48">
      <w:pPr>
        <w:spacing w:after="158" w:line="276" w:lineRule="auto"/>
        <w:ind w:left="-5" w:right="0"/>
        <w:jc w:val="both"/>
        <w:rPr>
          <w:rFonts w:ascii="Arial Narrow" w:hAnsi="Arial Narrow"/>
          <w:sz w:val="24"/>
          <w:szCs w:val="24"/>
        </w:rPr>
      </w:pPr>
      <w:r w:rsidRPr="00923F48">
        <w:rPr>
          <w:rFonts w:ascii="Arial Narrow" w:hAnsi="Arial Narrow"/>
          <w:sz w:val="24"/>
          <w:szCs w:val="24"/>
        </w:rPr>
        <w:t xml:space="preserve"> V Bratislave  </w:t>
      </w:r>
      <w:r w:rsidR="00541679">
        <w:rPr>
          <w:rFonts w:ascii="Arial Narrow" w:hAnsi="Arial Narrow"/>
          <w:sz w:val="24"/>
          <w:szCs w:val="24"/>
        </w:rPr>
        <w:t>21</w:t>
      </w:r>
      <w:r w:rsidRPr="00923F48">
        <w:rPr>
          <w:rFonts w:ascii="Arial Narrow" w:hAnsi="Arial Narrow"/>
          <w:sz w:val="24"/>
          <w:szCs w:val="24"/>
        </w:rPr>
        <w:t>.03.202</w:t>
      </w:r>
      <w:r w:rsidR="00541679">
        <w:rPr>
          <w:rFonts w:ascii="Arial Narrow" w:hAnsi="Arial Narrow"/>
          <w:sz w:val="24"/>
          <w:szCs w:val="24"/>
        </w:rPr>
        <w:t>5</w:t>
      </w:r>
      <w:r w:rsidRPr="00923F48">
        <w:rPr>
          <w:rFonts w:ascii="Arial Narrow" w:hAnsi="Arial Narrow"/>
          <w:sz w:val="24"/>
          <w:szCs w:val="24"/>
        </w:rPr>
        <w:t xml:space="preserve">   </w:t>
      </w:r>
    </w:p>
    <w:p w14:paraId="051360B8" w14:textId="77777777" w:rsidR="007B11EC" w:rsidRPr="00923F48" w:rsidRDefault="009621F0" w:rsidP="00923F48">
      <w:pPr>
        <w:spacing w:after="0" w:line="276" w:lineRule="auto"/>
        <w:ind w:left="909" w:right="0" w:firstLine="0"/>
        <w:jc w:val="both"/>
        <w:rPr>
          <w:rFonts w:ascii="Arial Narrow" w:hAnsi="Arial Narrow"/>
          <w:sz w:val="24"/>
          <w:szCs w:val="24"/>
        </w:rPr>
      </w:pPr>
      <w:r w:rsidRPr="00923F48">
        <w:rPr>
          <w:rFonts w:ascii="Arial Narrow" w:hAnsi="Arial Narrow"/>
          <w:sz w:val="24"/>
          <w:szCs w:val="24"/>
        </w:rPr>
        <w:t xml:space="preserve"> </w:t>
      </w:r>
    </w:p>
    <w:p w14:paraId="537217C8" w14:textId="77777777" w:rsidR="007B11EC" w:rsidRPr="00923F48" w:rsidRDefault="009621F0" w:rsidP="00923F48">
      <w:pPr>
        <w:spacing w:after="0" w:line="276" w:lineRule="auto"/>
        <w:ind w:left="909" w:right="0" w:firstLine="0"/>
        <w:jc w:val="both"/>
        <w:rPr>
          <w:rFonts w:ascii="Arial Narrow" w:hAnsi="Arial Narrow"/>
          <w:sz w:val="24"/>
          <w:szCs w:val="24"/>
        </w:rPr>
      </w:pPr>
      <w:r w:rsidRPr="00923F48">
        <w:rPr>
          <w:rFonts w:ascii="Arial Narrow" w:hAnsi="Arial Narrow"/>
          <w:sz w:val="24"/>
          <w:szCs w:val="24"/>
        </w:rPr>
        <w:t xml:space="preserve"> </w:t>
      </w:r>
    </w:p>
    <w:p w14:paraId="5B07428C" w14:textId="77777777" w:rsidR="007B11EC" w:rsidRPr="00923F48" w:rsidRDefault="009621F0" w:rsidP="00923F48">
      <w:pPr>
        <w:spacing w:after="0" w:line="276" w:lineRule="auto"/>
        <w:ind w:left="909" w:right="0" w:firstLine="0"/>
        <w:jc w:val="center"/>
        <w:rPr>
          <w:rFonts w:ascii="Arial Narrow" w:hAnsi="Arial Narrow"/>
          <w:sz w:val="24"/>
          <w:szCs w:val="24"/>
        </w:rPr>
      </w:pPr>
      <w:r w:rsidRPr="00923F48">
        <w:rPr>
          <w:rFonts w:ascii="Arial Narrow" w:hAnsi="Arial Narrow"/>
          <w:sz w:val="24"/>
          <w:szCs w:val="24"/>
        </w:rPr>
        <w:t xml:space="preserve"> </w:t>
      </w:r>
    </w:p>
    <w:p w14:paraId="4090EE78" w14:textId="77777777" w:rsidR="007B11EC" w:rsidRPr="00923F48" w:rsidRDefault="009621F0" w:rsidP="00923F48">
      <w:pPr>
        <w:spacing w:after="0" w:line="276" w:lineRule="auto"/>
        <w:ind w:left="909" w:right="0" w:firstLine="0"/>
        <w:jc w:val="center"/>
        <w:rPr>
          <w:rFonts w:ascii="Arial Narrow" w:hAnsi="Arial Narrow"/>
          <w:sz w:val="24"/>
          <w:szCs w:val="24"/>
        </w:rPr>
      </w:pPr>
      <w:r w:rsidRPr="00923F48">
        <w:rPr>
          <w:rFonts w:ascii="Arial Narrow" w:hAnsi="Arial Narrow"/>
          <w:sz w:val="24"/>
          <w:szCs w:val="24"/>
        </w:rPr>
        <w:t xml:space="preserve"> </w:t>
      </w:r>
    </w:p>
    <w:sectPr w:rsidR="007B11EC" w:rsidRPr="00923F48">
      <w:footerReference w:type="even" r:id="rId13"/>
      <w:footerReference w:type="default" r:id="rId14"/>
      <w:footerReference w:type="first" r:id="rId15"/>
      <w:pgSz w:w="11906" w:h="16838"/>
      <w:pgMar w:top="1416" w:right="1435" w:bottom="1498"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24E5" w14:textId="77777777" w:rsidR="00AA4378" w:rsidRDefault="00AA4378">
      <w:pPr>
        <w:spacing w:after="0" w:line="240" w:lineRule="auto"/>
      </w:pPr>
      <w:r>
        <w:separator/>
      </w:r>
    </w:p>
  </w:endnote>
  <w:endnote w:type="continuationSeparator" w:id="0">
    <w:p w14:paraId="1231D4CA" w14:textId="77777777" w:rsidR="00AA4378" w:rsidRDefault="00AA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A476" w14:textId="77777777" w:rsidR="007B11EC" w:rsidRDefault="009621F0">
    <w:pPr>
      <w:spacing w:after="0" w:line="259" w:lineRule="auto"/>
      <w:ind w:left="0" w:right="0" w:firstLine="0"/>
    </w:pPr>
    <w:r>
      <w:t>_________________________________________________________________________________</w:t>
    </w:r>
    <w:r>
      <w:fldChar w:fldCharType="begin"/>
    </w:r>
    <w:r>
      <w:instrText xml:space="preserve"> PAGE   \* MERGEFORMAT </w:instrText>
    </w:r>
    <w:r>
      <w:fldChar w:fldCharType="separate"/>
    </w:r>
    <w:r>
      <w:t>1</w:t>
    </w:r>
    <w:r>
      <w:fldChar w:fldCharType="end"/>
    </w:r>
    <w:r>
      <w:t xml:space="preserve"> </w:t>
    </w:r>
  </w:p>
  <w:p w14:paraId="5ECA48D6" w14:textId="77777777" w:rsidR="007B11EC" w:rsidRDefault="009621F0">
    <w:pPr>
      <w:spacing w:after="0" w:line="259" w:lineRule="auto"/>
      <w:ind w:left="0" w:right="0" w:firstLine="0"/>
    </w:pPr>
    <w:r>
      <w:rPr>
        <w:i/>
        <w:sz w:val="18"/>
      </w:rPr>
      <w:t>Tézy a odporúčaná literatúra pre vstupný test – termín konania dňa 08.10.2020 v Bratislave</w:t>
    </w:r>
    <w:r>
      <w:t xml:space="preserve"> </w:t>
    </w:r>
  </w:p>
  <w:p w14:paraId="11593142" w14:textId="77777777" w:rsidR="007B11EC" w:rsidRDefault="009621F0">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BA90" w14:textId="77777777" w:rsidR="007B11EC" w:rsidRDefault="009621F0">
    <w:pPr>
      <w:spacing w:after="0" w:line="259" w:lineRule="auto"/>
      <w:ind w:left="0" w:right="0" w:firstLine="0"/>
    </w:pPr>
    <w:r>
      <w:t>_________________________________________________________________________________</w:t>
    </w:r>
    <w:r>
      <w:fldChar w:fldCharType="begin"/>
    </w:r>
    <w:r>
      <w:instrText xml:space="preserve"> PAGE   \* MERGEFORMAT </w:instrText>
    </w:r>
    <w:r>
      <w:fldChar w:fldCharType="separate"/>
    </w:r>
    <w:r w:rsidR="00F309D2">
      <w:rPr>
        <w:noProof/>
      </w:rPr>
      <w:t>3</w:t>
    </w:r>
    <w:r>
      <w:fldChar w:fldCharType="end"/>
    </w:r>
    <w:r>
      <w:t xml:space="preserve"> </w:t>
    </w:r>
  </w:p>
  <w:p w14:paraId="7E1215CD" w14:textId="23B9E132" w:rsidR="007B11EC" w:rsidRPr="00D2649F" w:rsidRDefault="00E7514B">
    <w:pPr>
      <w:spacing w:after="0" w:line="259" w:lineRule="auto"/>
      <w:ind w:left="0" w:right="0" w:firstLine="0"/>
      <w:rPr>
        <w:rFonts w:ascii="Arial Narrow" w:hAnsi="Arial Narrow"/>
        <w:sz w:val="20"/>
        <w:szCs w:val="20"/>
      </w:rPr>
    </w:pPr>
    <w:r w:rsidRPr="00D2649F">
      <w:rPr>
        <w:rFonts w:ascii="Arial Narrow" w:hAnsi="Arial Narrow"/>
        <w:i/>
        <w:sz w:val="20"/>
        <w:szCs w:val="20"/>
      </w:rPr>
      <w:t>Okruhy tém</w:t>
    </w:r>
    <w:r w:rsidR="009621F0" w:rsidRPr="00D2649F">
      <w:rPr>
        <w:rFonts w:ascii="Arial Narrow" w:hAnsi="Arial Narrow"/>
        <w:i/>
        <w:sz w:val="20"/>
        <w:szCs w:val="20"/>
      </w:rPr>
      <w:t xml:space="preserve"> a odporúčaná literatúra pre vstupný test – termín konania dňa 0</w:t>
    </w:r>
    <w:r w:rsidR="00541679">
      <w:rPr>
        <w:rFonts w:ascii="Arial Narrow" w:hAnsi="Arial Narrow"/>
        <w:i/>
        <w:sz w:val="20"/>
        <w:szCs w:val="20"/>
      </w:rPr>
      <w:t>2</w:t>
    </w:r>
    <w:r w:rsidR="009621F0" w:rsidRPr="00D2649F">
      <w:rPr>
        <w:rFonts w:ascii="Arial Narrow" w:hAnsi="Arial Narrow"/>
        <w:i/>
        <w:sz w:val="20"/>
        <w:szCs w:val="20"/>
      </w:rPr>
      <w:t>.10.202</w:t>
    </w:r>
    <w:r w:rsidR="00541679">
      <w:rPr>
        <w:rFonts w:ascii="Arial Narrow" w:hAnsi="Arial Narrow"/>
        <w:i/>
        <w:sz w:val="20"/>
        <w:szCs w:val="20"/>
      </w:rPr>
      <w:t>5</w:t>
    </w:r>
    <w:r w:rsidR="009621F0" w:rsidRPr="00D2649F">
      <w:rPr>
        <w:rFonts w:ascii="Arial Narrow" w:hAnsi="Arial Narrow"/>
        <w:sz w:val="20"/>
        <w:szCs w:val="20"/>
      </w:rPr>
      <w:t xml:space="preserve"> </w:t>
    </w:r>
  </w:p>
  <w:p w14:paraId="16DB6478" w14:textId="77777777" w:rsidR="007B11EC" w:rsidRDefault="009621F0">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1ED6" w14:textId="77777777" w:rsidR="007B11EC" w:rsidRDefault="009621F0">
    <w:pPr>
      <w:spacing w:after="0" w:line="259" w:lineRule="auto"/>
      <w:ind w:left="0" w:right="0" w:firstLine="0"/>
    </w:pPr>
    <w:r>
      <w:t>_________________________________________________________________________________</w:t>
    </w:r>
    <w:r>
      <w:fldChar w:fldCharType="begin"/>
    </w:r>
    <w:r>
      <w:instrText xml:space="preserve"> PAGE   \* MERGEFORMAT </w:instrText>
    </w:r>
    <w:r>
      <w:fldChar w:fldCharType="separate"/>
    </w:r>
    <w:r>
      <w:t>1</w:t>
    </w:r>
    <w:r>
      <w:fldChar w:fldCharType="end"/>
    </w:r>
    <w:r>
      <w:t xml:space="preserve"> </w:t>
    </w:r>
  </w:p>
  <w:p w14:paraId="754FAB37" w14:textId="77777777" w:rsidR="007B11EC" w:rsidRDefault="009621F0">
    <w:pPr>
      <w:spacing w:after="0" w:line="259" w:lineRule="auto"/>
      <w:ind w:left="0" w:right="0" w:firstLine="0"/>
    </w:pPr>
    <w:r>
      <w:rPr>
        <w:i/>
        <w:sz w:val="18"/>
      </w:rPr>
      <w:t>Tézy a odporúčaná literatúra pre vstupný test – termín konania dňa 08.10.2020 v Bratislave</w:t>
    </w:r>
    <w:r>
      <w:t xml:space="preserve"> </w:t>
    </w:r>
  </w:p>
  <w:p w14:paraId="0C685505" w14:textId="77777777" w:rsidR="007B11EC" w:rsidRDefault="009621F0">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263D" w14:textId="77777777" w:rsidR="00AA4378" w:rsidRDefault="00AA4378">
      <w:pPr>
        <w:spacing w:after="0" w:line="240" w:lineRule="auto"/>
      </w:pPr>
      <w:r>
        <w:separator/>
      </w:r>
    </w:p>
  </w:footnote>
  <w:footnote w:type="continuationSeparator" w:id="0">
    <w:p w14:paraId="4E923838" w14:textId="77777777" w:rsidR="00AA4378" w:rsidRDefault="00AA4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B4D02"/>
    <w:multiLevelType w:val="hybridMultilevel"/>
    <w:tmpl w:val="399EDA6A"/>
    <w:lvl w:ilvl="0" w:tplc="A386B2E4">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28A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86D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DA79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18D3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FACA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9A1C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38F3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32F3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B86A0F"/>
    <w:multiLevelType w:val="hybridMultilevel"/>
    <w:tmpl w:val="109A5A8E"/>
    <w:lvl w:ilvl="0" w:tplc="041B0003">
      <w:start w:val="1"/>
      <w:numFmt w:val="bullet"/>
      <w:lvlText w:val="o"/>
      <w:lvlJc w:val="left"/>
      <w:pPr>
        <w:ind w:left="938" w:hanging="360"/>
      </w:pPr>
      <w:rPr>
        <w:rFonts w:ascii="Courier New" w:hAnsi="Courier New" w:cs="Courier New"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21C06876"/>
    <w:multiLevelType w:val="hybridMultilevel"/>
    <w:tmpl w:val="EE5E2D4E"/>
    <w:lvl w:ilvl="0" w:tplc="041B0003">
      <w:start w:val="1"/>
      <w:numFmt w:val="bullet"/>
      <w:lvlText w:val="o"/>
      <w:lvlJc w:val="left"/>
      <w:pPr>
        <w:ind w:left="1488" w:hanging="360"/>
      </w:pPr>
      <w:rPr>
        <w:rFonts w:ascii="Courier New" w:hAnsi="Courier New" w:cs="Courier New" w:hint="default"/>
      </w:rPr>
    </w:lvl>
    <w:lvl w:ilvl="1" w:tplc="041B0003" w:tentative="1">
      <w:start w:val="1"/>
      <w:numFmt w:val="bullet"/>
      <w:lvlText w:val="o"/>
      <w:lvlJc w:val="left"/>
      <w:pPr>
        <w:ind w:left="2208" w:hanging="360"/>
      </w:pPr>
      <w:rPr>
        <w:rFonts w:ascii="Courier New" w:hAnsi="Courier New" w:cs="Courier New" w:hint="default"/>
      </w:rPr>
    </w:lvl>
    <w:lvl w:ilvl="2" w:tplc="041B0005" w:tentative="1">
      <w:start w:val="1"/>
      <w:numFmt w:val="bullet"/>
      <w:lvlText w:val=""/>
      <w:lvlJc w:val="left"/>
      <w:pPr>
        <w:ind w:left="2928" w:hanging="360"/>
      </w:pPr>
      <w:rPr>
        <w:rFonts w:ascii="Wingdings" w:hAnsi="Wingdings" w:hint="default"/>
      </w:rPr>
    </w:lvl>
    <w:lvl w:ilvl="3" w:tplc="041B0001" w:tentative="1">
      <w:start w:val="1"/>
      <w:numFmt w:val="bullet"/>
      <w:lvlText w:val=""/>
      <w:lvlJc w:val="left"/>
      <w:pPr>
        <w:ind w:left="3648" w:hanging="360"/>
      </w:pPr>
      <w:rPr>
        <w:rFonts w:ascii="Symbol" w:hAnsi="Symbol" w:hint="default"/>
      </w:rPr>
    </w:lvl>
    <w:lvl w:ilvl="4" w:tplc="041B0003" w:tentative="1">
      <w:start w:val="1"/>
      <w:numFmt w:val="bullet"/>
      <w:lvlText w:val="o"/>
      <w:lvlJc w:val="left"/>
      <w:pPr>
        <w:ind w:left="4368" w:hanging="360"/>
      </w:pPr>
      <w:rPr>
        <w:rFonts w:ascii="Courier New" w:hAnsi="Courier New" w:cs="Courier New" w:hint="default"/>
      </w:rPr>
    </w:lvl>
    <w:lvl w:ilvl="5" w:tplc="041B0005" w:tentative="1">
      <w:start w:val="1"/>
      <w:numFmt w:val="bullet"/>
      <w:lvlText w:val=""/>
      <w:lvlJc w:val="left"/>
      <w:pPr>
        <w:ind w:left="5088" w:hanging="360"/>
      </w:pPr>
      <w:rPr>
        <w:rFonts w:ascii="Wingdings" w:hAnsi="Wingdings" w:hint="default"/>
      </w:rPr>
    </w:lvl>
    <w:lvl w:ilvl="6" w:tplc="041B0001" w:tentative="1">
      <w:start w:val="1"/>
      <w:numFmt w:val="bullet"/>
      <w:lvlText w:val=""/>
      <w:lvlJc w:val="left"/>
      <w:pPr>
        <w:ind w:left="5808" w:hanging="360"/>
      </w:pPr>
      <w:rPr>
        <w:rFonts w:ascii="Symbol" w:hAnsi="Symbol" w:hint="default"/>
      </w:rPr>
    </w:lvl>
    <w:lvl w:ilvl="7" w:tplc="041B0003" w:tentative="1">
      <w:start w:val="1"/>
      <w:numFmt w:val="bullet"/>
      <w:lvlText w:val="o"/>
      <w:lvlJc w:val="left"/>
      <w:pPr>
        <w:ind w:left="6528" w:hanging="360"/>
      </w:pPr>
      <w:rPr>
        <w:rFonts w:ascii="Courier New" w:hAnsi="Courier New" w:cs="Courier New" w:hint="default"/>
      </w:rPr>
    </w:lvl>
    <w:lvl w:ilvl="8" w:tplc="041B0005" w:tentative="1">
      <w:start w:val="1"/>
      <w:numFmt w:val="bullet"/>
      <w:lvlText w:val=""/>
      <w:lvlJc w:val="left"/>
      <w:pPr>
        <w:ind w:left="7248" w:hanging="360"/>
      </w:pPr>
      <w:rPr>
        <w:rFonts w:ascii="Wingdings" w:hAnsi="Wingdings" w:hint="default"/>
      </w:rPr>
    </w:lvl>
  </w:abstractNum>
  <w:abstractNum w:abstractNumId="3" w15:restartNumberingAfterBreak="0">
    <w:nsid w:val="24CD7652"/>
    <w:multiLevelType w:val="hybridMultilevel"/>
    <w:tmpl w:val="0B54FE54"/>
    <w:lvl w:ilvl="0" w:tplc="68922B5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306FAE">
      <w:start w:val="1"/>
      <w:numFmt w:val="lowerLetter"/>
      <w:lvlText w:val="%2"/>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6E8578">
      <w:start w:val="1"/>
      <w:numFmt w:val="lowerRoman"/>
      <w:lvlText w:val="%3"/>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A4A944">
      <w:start w:val="1"/>
      <w:numFmt w:val="decimal"/>
      <w:lvlText w:val="%4"/>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8847C2">
      <w:start w:val="1"/>
      <w:numFmt w:val="lowerLetter"/>
      <w:lvlText w:val="%5"/>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9CD502">
      <w:start w:val="1"/>
      <w:numFmt w:val="lowerRoman"/>
      <w:lvlText w:val="%6"/>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F4DC0C">
      <w:start w:val="1"/>
      <w:numFmt w:val="decimal"/>
      <w:lvlText w:val="%7"/>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38C0DC">
      <w:start w:val="1"/>
      <w:numFmt w:val="lowerLetter"/>
      <w:lvlText w:val="%8"/>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3AB224">
      <w:start w:val="1"/>
      <w:numFmt w:val="lowerRoman"/>
      <w:lvlText w:val="%9"/>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CD6292"/>
    <w:multiLevelType w:val="hybridMultilevel"/>
    <w:tmpl w:val="B2921FC8"/>
    <w:lvl w:ilvl="0" w:tplc="9AFC2382">
      <w:start w:val="100"/>
      <w:numFmt w:val="upperRoman"/>
      <w:pStyle w:val="Nadpis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A7E5FA0">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0EBEDA9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E8E6E3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C4AC6A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77E37D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C36997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BEADCA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E94966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DE132DE"/>
    <w:multiLevelType w:val="hybridMultilevel"/>
    <w:tmpl w:val="6FF46636"/>
    <w:lvl w:ilvl="0" w:tplc="8DAA44B2">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64C5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B65D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4E52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C228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6A89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268E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BE44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80CE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2E2E44"/>
    <w:multiLevelType w:val="hybridMultilevel"/>
    <w:tmpl w:val="CC9CFB6A"/>
    <w:lvl w:ilvl="0" w:tplc="65B0A1C0">
      <w:start w:val="1"/>
      <w:numFmt w:val="decimal"/>
      <w:lvlText w:val="%1."/>
      <w:lvlJc w:val="left"/>
      <w:pPr>
        <w:ind w:left="1128" w:hanging="36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7" w15:restartNumberingAfterBreak="0">
    <w:nsid w:val="40511B4E"/>
    <w:multiLevelType w:val="hybridMultilevel"/>
    <w:tmpl w:val="F822DA16"/>
    <w:lvl w:ilvl="0" w:tplc="FD16F272">
      <w:start w:val="1"/>
      <w:numFmt w:val="lowerLetter"/>
      <w:lvlText w:val="%1)"/>
      <w:lvlJc w:val="left"/>
      <w:pPr>
        <w:ind w:left="768" w:hanging="360"/>
      </w:pPr>
      <w:rPr>
        <w:rFonts w:ascii="Arial Narrow" w:eastAsia="Calibri" w:hAnsi="Arial Narrow" w:cs="Calibri"/>
      </w:r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8" w15:restartNumberingAfterBreak="0">
    <w:nsid w:val="406E6DAC"/>
    <w:multiLevelType w:val="hybridMultilevel"/>
    <w:tmpl w:val="71868312"/>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41120DE5"/>
    <w:multiLevelType w:val="hybridMultilevel"/>
    <w:tmpl w:val="22CEA586"/>
    <w:lvl w:ilvl="0" w:tplc="041B0003">
      <w:start w:val="1"/>
      <w:numFmt w:val="bullet"/>
      <w:lvlText w:val="o"/>
      <w:lvlJc w:val="left"/>
      <w:pPr>
        <w:ind w:left="938" w:hanging="360"/>
      </w:pPr>
      <w:rPr>
        <w:rFonts w:ascii="Courier New" w:hAnsi="Courier New" w:cs="Courier New"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10" w15:restartNumberingAfterBreak="0">
    <w:nsid w:val="5FBD15B0"/>
    <w:multiLevelType w:val="hybridMultilevel"/>
    <w:tmpl w:val="5B3EF03C"/>
    <w:lvl w:ilvl="0" w:tplc="5312321A">
      <w:start w:val="1"/>
      <w:numFmt w:val="decimal"/>
      <w:lvlText w:val="%1."/>
      <w:lvlJc w:val="left"/>
      <w:pPr>
        <w:ind w:left="408" w:hanging="360"/>
      </w:pPr>
    </w:lvl>
    <w:lvl w:ilvl="1" w:tplc="041B0019">
      <w:start w:val="1"/>
      <w:numFmt w:val="lowerLetter"/>
      <w:lvlText w:val="%2."/>
      <w:lvlJc w:val="left"/>
      <w:pPr>
        <w:ind w:left="1128" w:hanging="360"/>
      </w:pPr>
    </w:lvl>
    <w:lvl w:ilvl="2" w:tplc="041B001B">
      <w:start w:val="1"/>
      <w:numFmt w:val="lowerRoman"/>
      <w:lvlText w:val="%3."/>
      <w:lvlJc w:val="right"/>
      <w:pPr>
        <w:ind w:left="1848" w:hanging="180"/>
      </w:pPr>
    </w:lvl>
    <w:lvl w:ilvl="3" w:tplc="041B000F">
      <w:start w:val="1"/>
      <w:numFmt w:val="decimal"/>
      <w:lvlText w:val="%4."/>
      <w:lvlJc w:val="left"/>
      <w:pPr>
        <w:ind w:left="2568" w:hanging="360"/>
      </w:pPr>
    </w:lvl>
    <w:lvl w:ilvl="4" w:tplc="041B0019">
      <w:start w:val="1"/>
      <w:numFmt w:val="lowerLetter"/>
      <w:lvlText w:val="%5."/>
      <w:lvlJc w:val="left"/>
      <w:pPr>
        <w:ind w:left="3288" w:hanging="360"/>
      </w:pPr>
    </w:lvl>
    <w:lvl w:ilvl="5" w:tplc="041B001B">
      <w:start w:val="1"/>
      <w:numFmt w:val="lowerRoman"/>
      <w:lvlText w:val="%6."/>
      <w:lvlJc w:val="right"/>
      <w:pPr>
        <w:ind w:left="4008" w:hanging="180"/>
      </w:pPr>
    </w:lvl>
    <w:lvl w:ilvl="6" w:tplc="041B000F">
      <w:start w:val="1"/>
      <w:numFmt w:val="decimal"/>
      <w:lvlText w:val="%7."/>
      <w:lvlJc w:val="left"/>
      <w:pPr>
        <w:ind w:left="4728" w:hanging="360"/>
      </w:pPr>
    </w:lvl>
    <w:lvl w:ilvl="7" w:tplc="041B0019">
      <w:start w:val="1"/>
      <w:numFmt w:val="lowerLetter"/>
      <w:lvlText w:val="%8."/>
      <w:lvlJc w:val="left"/>
      <w:pPr>
        <w:ind w:left="5448" w:hanging="360"/>
      </w:pPr>
    </w:lvl>
    <w:lvl w:ilvl="8" w:tplc="041B001B">
      <w:start w:val="1"/>
      <w:numFmt w:val="lowerRoman"/>
      <w:lvlText w:val="%9."/>
      <w:lvlJc w:val="right"/>
      <w:pPr>
        <w:ind w:left="6168" w:hanging="180"/>
      </w:pPr>
    </w:lvl>
  </w:abstractNum>
  <w:abstractNum w:abstractNumId="11" w15:restartNumberingAfterBreak="0">
    <w:nsid w:val="5FD828C1"/>
    <w:multiLevelType w:val="hybridMultilevel"/>
    <w:tmpl w:val="65D035DC"/>
    <w:lvl w:ilvl="0" w:tplc="041B0003">
      <w:start w:val="1"/>
      <w:numFmt w:val="bullet"/>
      <w:lvlText w:val="o"/>
      <w:lvlJc w:val="left"/>
      <w:pPr>
        <w:ind w:left="928" w:hanging="360"/>
      </w:pPr>
      <w:rPr>
        <w:rFonts w:ascii="Courier New" w:hAnsi="Courier New" w:cs="Courier New"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12" w15:restartNumberingAfterBreak="0">
    <w:nsid w:val="61DC0274"/>
    <w:multiLevelType w:val="hybridMultilevel"/>
    <w:tmpl w:val="BBCADA68"/>
    <w:lvl w:ilvl="0" w:tplc="7F08B7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802230">
      <w:start w:val="1"/>
      <w:numFmt w:val="lowerLetter"/>
      <w:lvlText w:val="%2"/>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CA6D16">
      <w:start w:val="1"/>
      <w:numFmt w:val="lowerRoman"/>
      <w:lvlText w:val="%3"/>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F6F33E">
      <w:start w:val="1"/>
      <w:numFmt w:val="decimal"/>
      <w:lvlText w:val="%4"/>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0AF94E">
      <w:start w:val="1"/>
      <w:numFmt w:val="lowerLetter"/>
      <w:lvlText w:val="%5"/>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A6807A">
      <w:start w:val="1"/>
      <w:numFmt w:val="lowerRoman"/>
      <w:lvlText w:val="%6"/>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8CAE76">
      <w:start w:val="1"/>
      <w:numFmt w:val="decimal"/>
      <w:lvlText w:val="%7"/>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09426">
      <w:start w:val="1"/>
      <w:numFmt w:val="lowerLetter"/>
      <w:lvlText w:val="%8"/>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A8B2E2">
      <w:start w:val="1"/>
      <w:numFmt w:val="lowerRoman"/>
      <w:lvlText w:val="%9"/>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9F2409"/>
    <w:multiLevelType w:val="hybridMultilevel"/>
    <w:tmpl w:val="3EEEA3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25B5DBB"/>
    <w:multiLevelType w:val="hybridMultilevel"/>
    <w:tmpl w:val="4454D4D4"/>
    <w:lvl w:ilvl="0" w:tplc="81D2DB7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EA44C0">
      <w:start w:val="1"/>
      <w:numFmt w:val="bullet"/>
      <w:lvlText w:val="➢"/>
      <w:lvlJc w:val="left"/>
      <w:pPr>
        <w:ind w:left="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5566570">
      <w:start w:val="1"/>
      <w:numFmt w:val="bullet"/>
      <w:lvlText w:val="▪"/>
      <w:lvlJc w:val="left"/>
      <w:pPr>
        <w:ind w:left="18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CDE8154">
      <w:start w:val="1"/>
      <w:numFmt w:val="bullet"/>
      <w:lvlText w:val="•"/>
      <w:lvlJc w:val="left"/>
      <w:pPr>
        <w:ind w:left="2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EE62C4">
      <w:start w:val="1"/>
      <w:numFmt w:val="bullet"/>
      <w:lvlText w:val="o"/>
      <w:lvlJc w:val="left"/>
      <w:pPr>
        <w:ind w:left="32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CA4749E">
      <w:start w:val="1"/>
      <w:numFmt w:val="bullet"/>
      <w:lvlText w:val="▪"/>
      <w:lvlJc w:val="left"/>
      <w:pPr>
        <w:ind w:left="40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0BE2EF0">
      <w:start w:val="1"/>
      <w:numFmt w:val="bullet"/>
      <w:lvlText w:val="•"/>
      <w:lvlJc w:val="left"/>
      <w:pPr>
        <w:ind w:left="4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947FD2">
      <w:start w:val="1"/>
      <w:numFmt w:val="bullet"/>
      <w:lvlText w:val="o"/>
      <w:lvlJc w:val="left"/>
      <w:pPr>
        <w:ind w:left="54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AB6A47A">
      <w:start w:val="1"/>
      <w:numFmt w:val="bullet"/>
      <w:lvlText w:val="▪"/>
      <w:lvlJc w:val="left"/>
      <w:pPr>
        <w:ind w:left="61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2B7300"/>
    <w:multiLevelType w:val="hybridMultilevel"/>
    <w:tmpl w:val="37448A42"/>
    <w:lvl w:ilvl="0" w:tplc="80189BD8">
      <w:start w:val="1"/>
      <w:numFmt w:val="decimal"/>
      <w:lvlText w:val="%1."/>
      <w:lvlJc w:val="left"/>
      <w:pPr>
        <w:ind w:left="218"/>
      </w:pPr>
      <w:rPr>
        <w:rFonts w:ascii="Arial Narrow" w:eastAsia="Calibri" w:hAnsi="Arial Narrow" w:cs="Calibri" w:hint="default"/>
        <w:b/>
        <w:bCs/>
        <w:i w:val="0"/>
        <w:strike w:val="0"/>
        <w:dstrike w:val="0"/>
        <w:color w:val="000000"/>
        <w:sz w:val="24"/>
        <w:szCs w:val="24"/>
        <w:u w:val="none" w:color="000000"/>
        <w:bdr w:val="none" w:sz="0" w:space="0" w:color="auto"/>
        <w:shd w:val="clear" w:color="auto" w:fill="auto"/>
        <w:vertAlign w:val="baseline"/>
      </w:rPr>
    </w:lvl>
    <w:lvl w:ilvl="1" w:tplc="B8A8957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04F64A">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68D8EC">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86C20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3ECDB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1E6C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D0C59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545E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15047431">
    <w:abstractNumId w:val="15"/>
  </w:num>
  <w:num w:numId="2" w16cid:durableId="1782145977">
    <w:abstractNumId w:val="14"/>
  </w:num>
  <w:num w:numId="3" w16cid:durableId="1856848855">
    <w:abstractNumId w:val="3"/>
  </w:num>
  <w:num w:numId="4" w16cid:durableId="1246302900">
    <w:abstractNumId w:val="5"/>
  </w:num>
  <w:num w:numId="5" w16cid:durableId="188759646">
    <w:abstractNumId w:val="12"/>
  </w:num>
  <w:num w:numId="6" w16cid:durableId="150870307">
    <w:abstractNumId w:val="0"/>
  </w:num>
  <w:num w:numId="7" w16cid:durableId="595870822">
    <w:abstractNumId w:val="4"/>
  </w:num>
  <w:num w:numId="8" w16cid:durableId="336154970">
    <w:abstractNumId w:val="9"/>
  </w:num>
  <w:num w:numId="9" w16cid:durableId="1158885703">
    <w:abstractNumId w:val="1"/>
  </w:num>
  <w:num w:numId="10" w16cid:durableId="1568224024">
    <w:abstractNumId w:val="11"/>
  </w:num>
  <w:num w:numId="11" w16cid:durableId="1173688605">
    <w:abstractNumId w:val="8"/>
  </w:num>
  <w:num w:numId="12" w16cid:durableId="1525708266">
    <w:abstractNumId w:val="7"/>
  </w:num>
  <w:num w:numId="13" w16cid:durableId="1609193640">
    <w:abstractNumId w:val="6"/>
  </w:num>
  <w:num w:numId="14" w16cid:durableId="583999242">
    <w:abstractNumId w:val="2"/>
  </w:num>
  <w:num w:numId="15" w16cid:durableId="2064403423">
    <w:abstractNumId w:val="13"/>
  </w:num>
  <w:num w:numId="16" w16cid:durableId="20761239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EC"/>
    <w:rsid w:val="00044D59"/>
    <w:rsid w:val="00075CDB"/>
    <w:rsid w:val="00076E34"/>
    <w:rsid w:val="00087437"/>
    <w:rsid w:val="00090DD5"/>
    <w:rsid w:val="000A0B08"/>
    <w:rsid w:val="000B3409"/>
    <w:rsid w:val="000B3FF7"/>
    <w:rsid w:val="000C0121"/>
    <w:rsid w:val="000C69E3"/>
    <w:rsid w:val="001B699F"/>
    <w:rsid w:val="001E7E23"/>
    <w:rsid w:val="002142B3"/>
    <w:rsid w:val="002161F9"/>
    <w:rsid w:val="002933B9"/>
    <w:rsid w:val="00343DEC"/>
    <w:rsid w:val="003B0AE6"/>
    <w:rsid w:val="003E4677"/>
    <w:rsid w:val="0042518F"/>
    <w:rsid w:val="00435DD8"/>
    <w:rsid w:val="004429DD"/>
    <w:rsid w:val="00447C26"/>
    <w:rsid w:val="004778B2"/>
    <w:rsid w:val="004E0BCB"/>
    <w:rsid w:val="00541679"/>
    <w:rsid w:val="005905E6"/>
    <w:rsid w:val="00591A38"/>
    <w:rsid w:val="00616D9E"/>
    <w:rsid w:val="006B618F"/>
    <w:rsid w:val="00716B31"/>
    <w:rsid w:val="007316C1"/>
    <w:rsid w:val="00750125"/>
    <w:rsid w:val="00777564"/>
    <w:rsid w:val="00793202"/>
    <w:rsid w:val="007A5D7A"/>
    <w:rsid w:val="007B11EC"/>
    <w:rsid w:val="007D2158"/>
    <w:rsid w:val="00826B40"/>
    <w:rsid w:val="0086548B"/>
    <w:rsid w:val="008A4B4B"/>
    <w:rsid w:val="008A7B79"/>
    <w:rsid w:val="008E73F2"/>
    <w:rsid w:val="00923F48"/>
    <w:rsid w:val="009621F0"/>
    <w:rsid w:val="009800FC"/>
    <w:rsid w:val="009B1D56"/>
    <w:rsid w:val="009F4728"/>
    <w:rsid w:val="00A07649"/>
    <w:rsid w:val="00A248A3"/>
    <w:rsid w:val="00A83E3D"/>
    <w:rsid w:val="00AA4378"/>
    <w:rsid w:val="00B479B0"/>
    <w:rsid w:val="00BB4F8E"/>
    <w:rsid w:val="00BB5D23"/>
    <w:rsid w:val="00BC31E1"/>
    <w:rsid w:val="00BF5A2D"/>
    <w:rsid w:val="00C11FA4"/>
    <w:rsid w:val="00C44554"/>
    <w:rsid w:val="00C45EDC"/>
    <w:rsid w:val="00CA1B9C"/>
    <w:rsid w:val="00CE089F"/>
    <w:rsid w:val="00CE7FBE"/>
    <w:rsid w:val="00D2649F"/>
    <w:rsid w:val="00D3463A"/>
    <w:rsid w:val="00D35366"/>
    <w:rsid w:val="00D41808"/>
    <w:rsid w:val="00D41C09"/>
    <w:rsid w:val="00D73AAE"/>
    <w:rsid w:val="00D97480"/>
    <w:rsid w:val="00E1365D"/>
    <w:rsid w:val="00E7514B"/>
    <w:rsid w:val="00EA00EC"/>
    <w:rsid w:val="00EA0F09"/>
    <w:rsid w:val="00EA3D05"/>
    <w:rsid w:val="00F14CAE"/>
    <w:rsid w:val="00F309D2"/>
    <w:rsid w:val="00F35066"/>
    <w:rsid w:val="00FB4F48"/>
    <w:rsid w:val="00FE43B2"/>
    <w:rsid w:val="00FF2BB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3842"/>
  <w15:docId w15:val="{D3B60E61-C7EF-4DBA-929F-F57481C7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9" w:line="249" w:lineRule="auto"/>
      <w:ind w:left="824" w:right="700" w:hanging="10"/>
    </w:pPr>
    <w:rPr>
      <w:rFonts w:ascii="Calibri" w:eastAsia="Calibri" w:hAnsi="Calibri" w:cs="Calibri"/>
      <w:color w:val="000000"/>
    </w:rPr>
  </w:style>
  <w:style w:type="paragraph" w:styleId="Nadpis1">
    <w:name w:val="heading 1"/>
    <w:next w:val="Normlny"/>
    <w:link w:val="Nadpis1Char"/>
    <w:uiPriority w:val="9"/>
    <w:qFormat/>
    <w:pPr>
      <w:keepNext/>
      <w:keepLines/>
      <w:numPr>
        <w:numId w:val="7"/>
      </w:numPr>
      <w:spacing w:after="101"/>
      <w:ind w:left="1896" w:hanging="10"/>
      <w:outlineLvl w:val="0"/>
    </w:pPr>
    <w:rPr>
      <w:rFonts w:ascii="Calibri" w:eastAsia="Calibri" w:hAnsi="Calibri" w:cs="Calibri"/>
      <w:b/>
      <w:color w:val="000000"/>
      <w:sz w:val="28"/>
    </w:rPr>
  </w:style>
  <w:style w:type="paragraph" w:styleId="Nadpis2">
    <w:name w:val="heading 2"/>
    <w:basedOn w:val="Normlny"/>
    <w:next w:val="Normlny"/>
    <w:link w:val="Nadpis2Char"/>
    <w:uiPriority w:val="9"/>
    <w:unhideWhenUsed/>
    <w:qFormat/>
    <w:rsid w:val="00CE08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8"/>
    </w:rPr>
  </w:style>
  <w:style w:type="paragraph" w:styleId="Hlavika">
    <w:name w:val="header"/>
    <w:basedOn w:val="Normlny"/>
    <w:link w:val="HlavikaChar"/>
    <w:uiPriority w:val="99"/>
    <w:unhideWhenUsed/>
    <w:rsid w:val="00D974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7480"/>
    <w:rPr>
      <w:rFonts w:ascii="Calibri" w:eastAsia="Calibri" w:hAnsi="Calibri" w:cs="Calibri"/>
      <w:color w:val="000000"/>
    </w:rPr>
  </w:style>
  <w:style w:type="paragraph" w:styleId="Odsekzoznamu">
    <w:name w:val="List Paragraph"/>
    <w:basedOn w:val="Normlny"/>
    <w:uiPriority w:val="34"/>
    <w:qFormat/>
    <w:rsid w:val="001E7E23"/>
    <w:pPr>
      <w:ind w:left="720"/>
      <w:contextualSpacing/>
    </w:pPr>
  </w:style>
  <w:style w:type="character" w:styleId="Hypertextovprepojenie">
    <w:name w:val="Hyperlink"/>
    <w:basedOn w:val="Predvolenpsmoodseku"/>
    <w:uiPriority w:val="99"/>
    <w:unhideWhenUsed/>
    <w:rsid w:val="008A4B4B"/>
    <w:rPr>
      <w:color w:val="0563C1" w:themeColor="hyperlink"/>
      <w:u w:val="single"/>
    </w:rPr>
  </w:style>
  <w:style w:type="character" w:customStyle="1" w:styleId="Nevyrieenzmienka1">
    <w:name w:val="Nevyriešená zmienka1"/>
    <w:basedOn w:val="Predvolenpsmoodseku"/>
    <w:uiPriority w:val="99"/>
    <w:semiHidden/>
    <w:unhideWhenUsed/>
    <w:rsid w:val="008A4B4B"/>
    <w:rPr>
      <w:color w:val="605E5C"/>
      <w:shd w:val="clear" w:color="auto" w:fill="E1DFDD"/>
    </w:rPr>
  </w:style>
  <w:style w:type="paragraph" w:customStyle="1" w:styleId="Default">
    <w:name w:val="Default"/>
    <w:rsid w:val="00CE089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Nadpis2Char">
    <w:name w:val="Nadpis 2 Char"/>
    <w:basedOn w:val="Predvolenpsmoodseku"/>
    <w:link w:val="Nadpis2"/>
    <w:uiPriority w:val="9"/>
    <w:rsid w:val="00CE089F"/>
    <w:rPr>
      <w:rFonts w:asciiTheme="majorHAnsi" w:eastAsiaTheme="majorEastAsia" w:hAnsiTheme="majorHAnsi" w:cstheme="majorBidi"/>
      <w:color w:val="2F5496" w:themeColor="accent1" w:themeShade="BF"/>
      <w:sz w:val="26"/>
      <w:szCs w:val="26"/>
    </w:rPr>
  </w:style>
  <w:style w:type="character" w:styleId="Nevyrieenzmienka">
    <w:name w:val="Unresolved Mention"/>
    <w:basedOn w:val="Predvolenpsmoodseku"/>
    <w:uiPriority w:val="99"/>
    <w:semiHidden/>
    <w:unhideWhenUsed/>
    <w:rsid w:val="00D3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3306">
      <w:bodyDiv w:val="1"/>
      <w:marLeft w:val="0"/>
      <w:marRight w:val="0"/>
      <w:marTop w:val="0"/>
      <w:marBottom w:val="0"/>
      <w:divBdr>
        <w:top w:val="none" w:sz="0" w:space="0" w:color="auto"/>
        <w:left w:val="none" w:sz="0" w:space="0" w:color="auto"/>
        <w:bottom w:val="none" w:sz="0" w:space="0" w:color="auto"/>
        <w:right w:val="none" w:sz="0" w:space="0" w:color="auto"/>
      </w:divBdr>
    </w:div>
    <w:div w:id="431367031">
      <w:bodyDiv w:val="1"/>
      <w:marLeft w:val="0"/>
      <w:marRight w:val="0"/>
      <w:marTop w:val="0"/>
      <w:marBottom w:val="0"/>
      <w:divBdr>
        <w:top w:val="none" w:sz="0" w:space="0" w:color="auto"/>
        <w:left w:val="none" w:sz="0" w:space="0" w:color="auto"/>
        <w:bottom w:val="none" w:sz="0" w:space="0" w:color="auto"/>
        <w:right w:val="none" w:sz="0" w:space="0" w:color="auto"/>
      </w:divBdr>
    </w:div>
    <w:div w:id="540941609">
      <w:bodyDiv w:val="1"/>
      <w:marLeft w:val="0"/>
      <w:marRight w:val="0"/>
      <w:marTop w:val="0"/>
      <w:marBottom w:val="0"/>
      <w:divBdr>
        <w:top w:val="none" w:sz="0" w:space="0" w:color="auto"/>
        <w:left w:val="none" w:sz="0" w:space="0" w:color="auto"/>
        <w:bottom w:val="none" w:sz="0" w:space="0" w:color="auto"/>
        <w:right w:val="none" w:sz="0" w:space="0" w:color="auto"/>
      </w:divBdr>
    </w:div>
    <w:div w:id="1126701485">
      <w:bodyDiv w:val="1"/>
      <w:marLeft w:val="0"/>
      <w:marRight w:val="0"/>
      <w:marTop w:val="0"/>
      <w:marBottom w:val="0"/>
      <w:divBdr>
        <w:top w:val="none" w:sz="0" w:space="0" w:color="auto"/>
        <w:left w:val="none" w:sz="0" w:space="0" w:color="auto"/>
        <w:bottom w:val="none" w:sz="0" w:space="0" w:color="auto"/>
        <w:right w:val="none" w:sz="0" w:space="0" w:color="auto"/>
      </w:divBdr>
    </w:div>
    <w:div w:id="1426417736">
      <w:bodyDiv w:val="1"/>
      <w:marLeft w:val="0"/>
      <w:marRight w:val="0"/>
      <w:marTop w:val="0"/>
      <w:marBottom w:val="0"/>
      <w:divBdr>
        <w:top w:val="none" w:sz="0" w:space="0" w:color="auto"/>
        <w:left w:val="none" w:sz="0" w:space="0" w:color="auto"/>
        <w:bottom w:val="none" w:sz="0" w:space="0" w:color="auto"/>
        <w:right w:val="none" w:sz="0" w:space="0" w:color="auto"/>
      </w:divBdr>
    </w:div>
    <w:div w:id="1482310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dva.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dva.s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udva.sk/" TargetMode="External"/><Relationship Id="rId4" Type="http://schemas.openxmlformats.org/officeDocument/2006/relationships/settings" Target="settings.xml"/><Relationship Id="rId9" Type="http://schemas.openxmlformats.org/officeDocument/2006/relationships/hyperlink" Target="https://www.mfsr.sk/sk/dane-cla-uctovnictvo/uctovnictvo-audit/uctovnictvo/legislativa-sr/opatrenia-oblasti-uctovnictva/"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7731-0B6F-4D78-8722-B78C61BD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1242</Words>
  <Characters>7086</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Mária Cvečková</cp:lastModifiedBy>
  <cp:revision>3</cp:revision>
  <dcterms:created xsi:type="dcterms:W3CDTF">2025-03-21T09:08:00Z</dcterms:created>
  <dcterms:modified xsi:type="dcterms:W3CDTF">2025-03-21T09:44:00Z</dcterms:modified>
</cp:coreProperties>
</file>